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827" w:rsidRDefault="00812C4F">
      <w:pPr>
        <w:pStyle w:val="1"/>
        <w:jc w:val="center"/>
        <w:rPr>
          <w:rFonts w:ascii="標楷體" w:eastAsia="標楷體" w:hAnsi="標楷體"/>
          <w:color w:val="000000"/>
          <w:sz w:val="32"/>
          <w:lang w:eastAsia="zh-TW"/>
        </w:rPr>
      </w:pPr>
      <w:bookmarkStart w:id="0" w:name="_GoBack"/>
      <w:r>
        <w:rPr>
          <w:rFonts w:ascii="標楷體" w:eastAsia="標楷體" w:hAnsi="標楷體"/>
          <w:color w:val="000000"/>
          <w:sz w:val="32"/>
          <w:lang w:eastAsia="zh-TW"/>
        </w:rPr>
        <w:t>行政院及所屬各機關政府資料分類及授權利用收費原則</w:t>
      </w:r>
    </w:p>
    <w:bookmarkEnd w:id="0"/>
    <w:p w:rsidR="00BB3688" w:rsidRPr="00BB3688" w:rsidRDefault="00BB3688" w:rsidP="00BB3688">
      <w:pPr>
        <w:pStyle w:val="Textbody"/>
        <w:jc w:val="right"/>
        <w:rPr>
          <w:rFonts w:ascii="標楷體" w:eastAsia="標楷體" w:hAnsi="標楷體"/>
          <w:sz w:val="20"/>
        </w:rPr>
      </w:pPr>
      <w:r w:rsidRPr="00BB3688">
        <w:rPr>
          <w:rFonts w:ascii="標楷體" w:eastAsia="標楷體" w:hAnsi="標楷體" w:hint="eastAsia"/>
          <w:sz w:val="20"/>
        </w:rPr>
        <w:t>中華民國104年11月24日院授發資字第1041501521號函訂定</w:t>
      </w:r>
    </w:p>
    <w:p w:rsidR="00BB3688" w:rsidRPr="00760175" w:rsidRDefault="00BB3688" w:rsidP="00BB3688">
      <w:pPr>
        <w:pStyle w:val="1"/>
        <w:jc w:val="right"/>
        <w:rPr>
          <w:lang w:eastAsia="zh-TW"/>
        </w:rPr>
      </w:pPr>
      <w:r>
        <w:rPr>
          <w:rFonts w:ascii="標楷體" w:eastAsia="標楷體" w:hAnsi="標楷體" w:hint="eastAsia"/>
          <w:sz w:val="20"/>
        </w:rPr>
        <w:t>中華民國10</w:t>
      </w:r>
      <w:r>
        <w:rPr>
          <w:rFonts w:ascii="標楷體" w:eastAsia="標楷體" w:hAnsi="標楷體" w:hint="eastAsia"/>
          <w:sz w:val="20"/>
          <w:lang w:eastAsia="zh-TW"/>
        </w:rPr>
        <w:t>5</w:t>
      </w:r>
      <w:r>
        <w:rPr>
          <w:rFonts w:ascii="標楷體" w:eastAsia="標楷體" w:hAnsi="標楷體" w:hint="eastAsia"/>
          <w:sz w:val="20"/>
        </w:rPr>
        <w:t>年</w:t>
      </w:r>
      <w:r w:rsidR="008E0471">
        <w:rPr>
          <w:rFonts w:ascii="標楷體" w:eastAsia="標楷體" w:hAnsi="標楷體" w:cs="標楷體" w:hint="eastAsia"/>
          <w:sz w:val="20"/>
        </w:rPr>
        <w:t>2</w:t>
      </w:r>
      <w:r>
        <w:rPr>
          <w:rFonts w:ascii="標楷體" w:eastAsia="標楷體" w:hAnsi="標楷體" w:hint="eastAsia"/>
          <w:sz w:val="20"/>
        </w:rPr>
        <w:t>月</w:t>
      </w:r>
      <w:r w:rsidR="00E12122">
        <w:rPr>
          <w:rFonts w:ascii="標楷體" w:eastAsia="標楷體" w:hAnsi="標楷體" w:cs="標楷體" w:hint="eastAsia"/>
          <w:sz w:val="20"/>
          <w:lang w:eastAsia="zh-TW"/>
        </w:rPr>
        <w:t>18</w:t>
      </w:r>
      <w:r>
        <w:rPr>
          <w:rFonts w:ascii="標楷體" w:eastAsia="標楷體" w:hAnsi="標楷體" w:hint="eastAsia"/>
          <w:sz w:val="20"/>
        </w:rPr>
        <w:t>日</w:t>
      </w:r>
      <w:r>
        <w:rPr>
          <w:rFonts w:ascii="標楷體" w:eastAsia="標楷體" w:hAnsi="標楷體" w:hint="eastAsia"/>
          <w:sz w:val="20"/>
          <w:lang w:eastAsia="zh-TW"/>
        </w:rPr>
        <w:t>院授</w:t>
      </w:r>
      <w:r>
        <w:rPr>
          <w:rFonts w:ascii="標楷體" w:eastAsia="標楷體" w:hAnsi="標楷體" w:hint="eastAsia"/>
          <w:sz w:val="20"/>
        </w:rPr>
        <w:t>發資字第</w:t>
      </w:r>
      <w:r w:rsidR="008E0471">
        <w:rPr>
          <w:rFonts w:ascii="標楷體" w:eastAsia="標楷體" w:hAnsi="標楷體" w:cs="標楷體" w:hint="eastAsia"/>
          <w:sz w:val="20"/>
          <w:lang w:eastAsia="zh-TW"/>
        </w:rPr>
        <w:t>1051500190</w:t>
      </w:r>
      <w:r w:rsidR="00760175">
        <w:rPr>
          <w:rFonts w:ascii="標楷體" w:eastAsia="標楷體" w:hAnsi="標楷體" w:hint="eastAsia"/>
          <w:sz w:val="20"/>
        </w:rPr>
        <w:t>號函部分修</w:t>
      </w:r>
      <w:r w:rsidR="000A4297">
        <w:rPr>
          <w:rFonts w:ascii="標楷體" w:eastAsia="標楷體" w:hAnsi="標楷體" w:hint="eastAsia"/>
          <w:sz w:val="20"/>
          <w:lang w:eastAsia="zh-TW"/>
        </w:rPr>
        <w:t>訂</w:t>
      </w:r>
    </w:p>
    <w:p w:rsidR="00CA7827" w:rsidRDefault="00CA7827">
      <w:pPr>
        <w:pStyle w:val="1"/>
        <w:jc w:val="both"/>
        <w:rPr>
          <w:rFonts w:ascii="標楷體" w:eastAsia="標楷體" w:hAnsi="標楷體"/>
          <w:color w:val="000000"/>
          <w:lang w:eastAsia="zh-TW"/>
        </w:rPr>
      </w:pPr>
    </w:p>
    <w:tbl>
      <w:tblPr>
        <w:tblW w:w="9302" w:type="dxa"/>
        <w:tblInd w:w="4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 w:type="dxa"/>
          <w:right w:w="10" w:type="dxa"/>
        </w:tblCellMar>
        <w:tblLook w:val="0000" w:firstRow="0" w:lastRow="0" w:firstColumn="0" w:lastColumn="0" w:noHBand="0" w:noVBand="0"/>
      </w:tblPr>
      <w:tblGrid>
        <w:gridCol w:w="9302"/>
      </w:tblGrid>
      <w:tr w:rsidR="00CA7827" w:rsidTr="000A7FE8">
        <w:trPr>
          <w:cantSplit/>
        </w:trPr>
        <w:tc>
          <w:tcPr>
            <w:tcW w:w="9302" w:type="dxa"/>
            <w:shd w:val="clear" w:color="auto" w:fill="FFFFFF"/>
            <w:tcMar>
              <w:top w:w="55" w:type="dxa"/>
              <w:left w:w="50" w:type="dxa"/>
              <w:bottom w:w="55" w:type="dxa"/>
              <w:right w:w="55" w:type="dxa"/>
            </w:tcMar>
          </w:tcPr>
          <w:p w:rsidR="00CA7827" w:rsidRDefault="00812C4F">
            <w:pPr>
              <w:pStyle w:val="aa"/>
              <w:ind w:left="510" w:hanging="510"/>
              <w:jc w:val="both"/>
              <w:rPr>
                <w:lang w:eastAsia="zh-TW"/>
              </w:rPr>
            </w:pPr>
            <w:r>
              <w:rPr>
                <w:rFonts w:ascii="標楷體" w:eastAsia="標楷體" w:hAnsi="標楷體"/>
                <w:color w:val="000000"/>
                <w:lang w:eastAsia="zh-TW"/>
              </w:rPr>
              <w:t>一、為利行政院及所屬各機關(構)（以下簡稱各機關）就政府資料之分類及以民事契約約定其授權利用之收費項目有所依循，以擴大推廣政府資料活化應用，特訂定本原則。</w:t>
            </w:r>
          </w:p>
        </w:tc>
      </w:tr>
      <w:tr w:rsidR="00CA7827" w:rsidTr="000A7FE8">
        <w:trPr>
          <w:cantSplit/>
          <w:trHeight w:val="424"/>
        </w:trPr>
        <w:tc>
          <w:tcPr>
            <w:tcW w:w="9302" w:type="dxa"/>
            <w:shd w:val="clear" w:color="auto" w:fill="FFFFFF"/>
            <w:tcMar>
              <w:top w:w="55" w:type="dxa"/>
              <w:left w:w="50" w:type="dxa"/>
              <w:bottom w:w="55" w:type="dxa"/>
              <w:right w:w="55" w:type="dxa"/>
            </w:tcMar>
          </w:tcPr>
          <w:p w:rsidR="00CA7827" w:rsidRDefault="00812C4F">
            <w:pPr>
              <w:pStyle w:val="aa"/>
              <w:ind w:left="510" w:hanging="510"/>
              <w:jc w:val="both"/>
              <w:rPr>
                <w:lang w:eastAsia="zh-TW"/>
              </w:rPr>
            </w:pPr>
            <w:r>
              <w:rPr>
                <w:rFonts w:ascii="標楷體" w:eastAsia="標楷體" w:hAnsi="標楷體"/>
                <w:color w:val="000000"/>
                <w:lang w:eastAsia="zh-TW"/>
              </w:rPr>
              <w:t>二、本原則所稱政府資料，指各機關於職權範圍內取得或作成之各類電子資料，包含文字、數據、圖片、影像、聲音、詮釋資料（</w:t>
            </w:r>
            <w:r w:rsidRPr="000F0244">
              <w:rPr>
                <w:rFonts w:ascii="Times New Roman" w:eastAsia="標楷體" w:hAnsi="Times New Roman" w:cs="Times New Roman"/>
                <w:color w:val="000000"/>
                <w:lang w:eastAsia="zh-TW"/>
              </w:rPr>
              <w:t>metadata</w:t>
            </w:r>
            <w:r>
              <w:rPr>
                <w:rFonts w:ascii="標楷體" w:eastAsia="標楷體" w:hAnsi="標楷體"/>
                <w:color w:val="000000"/>
                <w:lang w:eastAsia="zh-TW"/>
              </w:rPr>
              <w:t>）等。</w:t>
            </w:r>
          </w:p>
        </w:tc>
      </w:tr>
      <w:tr w:rsidR="00CA7827" w:rsidTr="000A7FE8">
        <w:trPr>
          <w:cantSplit/>
        </w:trPr>
        <w:tc>
          <w:tcPr>
            <w:tcW w:w="9302" w:type="dxa"/>
            <w:shd w:val="clear" w:color="auto" w:fill="FFFFFF"/>
            <w:tcMar>
              <w:top w:w="55" w:type="dxa"/>
              <w:left w:w="50" w:type="dxa"/>
              <w:bottom w:w="55" w:type="dxa"/>
              <w:right w:w="55" w:type="dxa"/>
            </w:tcMar>
          </w:tcPr>
          <w:p w:rsidR="00CA7827" w:rsidRDefault="00812C4F" w:rsidP="000A7FE8">
            <w:pPr>
              <w:pStyle w:val="aa"/>
              <w:jc w:val="both"/>
              <w:rPr>
                <w:lang w:eastAsia="zh-TW"/>
              </w:rPr>
            </w:pPr>
            <w:r>
              <w:rPr>
                <w:rFonts w:ascii="標楷體" w:eastAsia="標楷體" w:hAnsi="標楷體"/>
                <w:color w:val="000000"/>
                <w:lang w:eastAsia="zh-TW"/>
              </w:rPr>
              <w:t>三、政府資料之類型，區分如下：</w:t>
            </w:r>
          </w:p>
          <w:p w:rsidR="00CA7827" w:rsidRDefault="00812C4F">
            <w:pPr>
              <w:pStyle w:val="aa"/>
              <w:numPr>
                <w:ilvl w:val="0"/>
                <w:numId w:val="1"/>
              </w:numPr>
              <w:jc w:val="both"/>
              <w:rPr>
                <w:rFonts w:ascii="標楷體" w:eastAsia="標楷體" w:hAnsi="標楷體"/>
                <w:color w:val="000000"/>
                <w:lang w:eastAsia="zh-TW"/>
              </w:rPr>
            </w:pPr>
            <w:r>
              <w:rPr>
                <w:rFonts w:ascii="標楷體" w:eastAsia="標楷體" w:hAnsi="標楷體"/>
                <w:color w:val="000000"/>
                <w:lang w:eastAsia="zh-TW"/>
              </w:rPr>
              <w:t>甲類資料：</w:t>
            </w:r>
          </w:p>
          <w:p w:rsidR="00CA7827" w:rsidRDefault="00812C4F">
            <w:pPr>
              <w:pStyle w:val="aa"/>
              <w:ind w:left="933"/>
              <w:jc w:val="both"/>
              <w:rPr>
                <w:lang w:eastAsia="zh-TW"/>
              </w:rPr>
            </w:pPr>
            <w:r>
              <w:rPr>
                <w:rFonts w:ascii="標楷體" w:eastAsia="標楷體" w:hAnsi="標楷體"/>
                <w:color w:val="000000"/>
                <w:lang w:eastAsia="zh-TW"/>
              </w:rPr>
              <w:t>為開放資料，指以開放格式提供，且以無償</w:t>
            </w:r>
            <w:r w:rsidR="00DC7C86">
              <w:rPr>
                <w:rFonts w:ascii="標楷體" w:eastAsia="標楷體" w:hAnsi="標楷體"/>
                <w:color w:val="000000"/>
                <w:lang w:eastAsia="zh-TW"/>
              </w:rPr>
              <w:t>方式</w:t>
            </w:r>
            <w:r>
              <w:rPr>
                <w:rFonts w:ascii="標楷體" w:eastAsia="標楷體" w:hAnsi="標楷體"/>
                <w:color w:val="000000"/>
                <w:lang w:eastAsia="zh-TW"/>
              </w:rPr>
              <w:t>、不可撤回，並得再轉授權方式授權利用為原則者。</w:t>
            </w:r>
          </w:p>
          <w:p w:rsidR="00CA7827" w:rsidRDefault="00812C4F">
            <w:pPr>
              <w:pStyle w:val="aa"/>
              <w:numPr>
                <w:ilvl w:val="0"/>
                <w:numId w:val="1"/>
              </w:numPr>
              <w:jc w:val="both"/>
              <w:rPr>
                <w:rFonts w:ascii="標楷體" w:eastAsia="標楷體" w:hAnsi="標楷體"/>
                <w:color w:val="000000"/>
                <w:lang w:eastAsia="zh-TW"/>
              </w:rPr>
            </w:pPr>
            <w:r>
              <w:rPr>
                <w:rFonts w:ascii="標楷體" w:eastAsia="標楷體" w:hAnsi="標楷體"/>
                <w:color w:val="000000"/>
                <w:lang w:eastAsia="zh-TW"/>
              </w:rPr>
              <w:t>乙類資料：</w:t>
            </w:r>
          </w:p>
          <w:p w:rsidR="00CA7827" w:rsidRDefault="00D1526E">
            <w:pPr>
              <w:pStyle w:val="aa"/>
              <w:ind w:left="933"/>
              <w:jc w:val="both"/>
              <w:rPr>
                <w:rFonts w:ascii="標楷體" w:eastAsia="標楷體" w:hAnsi="標楷體"/>
                <w:color w:val="000000"/>
                <w:lang w:eastAsia="zh-TW"/>
              </w:rPr>
            </w:pPr>
            <w:r w:rsidRPr="00D1526E">
              <w:rPr>
                <w:rFonts w:ascii="標楷體" w:eastAsia="標楷體" w:hAnsi="標楷體" w:hint="eastAsia"/>
                <w:color w:val="000000"/>
                <w:lang w:eastAsia="zh-TW"/>
              </w:rPr>
              <w:t>為有限度利用資料，指以開放格式提供，且</w:t>
            </w:r>
            <w:r w:rsidR="00BE5425">
              <w:rPr>
                <w:rFonts w:ascii="標楷體" w:eastAsia="標楷體" w:hAnsi="標楷體" w:hint="eastAsia"/>
                <w:color w:val="000000"/>
                <w:lang w:eastAsia="zh-TW"/>
              </w:rPr>
              <w:t>符合下列</w:t>
            </w:r>
            <w:r w:rsidR="00BB3688">
              <w:rPr>
                <w:rFonts w:ascii="標楷體" w:eastAsia="標楷體" w:hAnsi="標楷體" w:hint="eastAsia"/>
                <w:color w:val="000000"/>
                <w:lang w:eastAsia="zh-TW"/>
              </w:rPr>
              <w:t>條件</w:t>
            </w:r>
            <w:r w:rsidR="00BE5425">
              <w:rPr>
                <w:rFonts w:ascii="標楷體" w:eastAsia="標楷體" w:hAnsi="標楷體" w:hint="eastAsia"/>
                <w:color w:val="000000"/>
                <w:lang w:eastAsia="zh-TW"/>
              </w:rPr>
              <w:t>之一</w:t>
            </w:r>
            <w:r w:rsidR="00BB3688">
              <w:rPr>
                <w:rFonts w:ascii="標楷體" w:eastAsia="標楷體" w:hAnsi="標楷體" w:hint="eastAsia"/>
                <w:color w:val="000000"/>
                <w:lang w:eastAsia="zh-TW"/>
              </w:rPr>
              <w:t>者</w:t>
            </w:r>
            <w:r w:rsidR="00BE5425">
              <w:rPr>
                <w:rFonts w:ascii="標楷體" w:eastAsia="標楷體" w:hAnsi="標楷體" w:hint="eastAsia"/>
                <w:color w:val="000000"/>
                <w:lang w:eastAsia="zh-TW"/>
              </w:rPr>
              <w:t>：</w:t>
            </w:r>
          </w:p>
          <w:p w:rsidR="00BB3688" w:rsidRDefault="00BE5425" w:rsidP="00BB3688">
            <w:pPr>
              <w:pStyle w:val="aa"/>
              <w:numPr>
                <w:ilvl w:val="0"/>
                <w:numId w:val="5"/>
              </w:numPr>
              <w:ind w:left="1269" w:hanging="336"/>
              <w:jc w:val="both"/>
              <w:rPr>
                <w:rFonts w:ascii="標楷體" w:eastAsia="標楷體" w:hAnsi="標楷體"/>
                <w:color w:val="000000"/>
                <w:lang w:eastAsia="zh-TW"/>
              </w:rPr>
            </w:pPr>
            <w:r>
              <w:rPr>
                <w:rFonts w:ascii="標楷體" w:eastAsia="標楷體" w:hAnsi="標楷體" w:hint="eastAsia"/>
                <w:color w:val="000000"/>
                <w:lang w:eastAsia="zh-TW"/>
              </w:rPr>
              <w:t>有償提供。</w:t>
            </w:r>
          </w:p>
          <w:p w:rsidR="00BB3688" w:rsidRDefault="00BE5425" w:rsidP="00BB3688">
            <w:pPr>
              <w:pStyle w:val="aa"/>
              <w:numPr>
                <w:ilvl w:val="0"/>
                <w:numId w:val="5"/>
              </w:numPr>
              <w:ind w:left="1269" w:hanging="336"/>
              <w:jc w:val="both"/>
              <w:rPr>
                <w:rFonts w:ascii="標楷體" w:eastAsia="標楷體" w:hAnsi="標楷體"/>
                <w:color w:val="000000"/>
                <w:lang w:eastAsia="zh-TW"/>
              </w:rPr>
            </w:pPr>
            <w:r>
              <w:rPr>
                <w:rFonts w:ascii="標楷體" w:eastAsia="標楷體" w:hAnsi="標楷體" w:hint="eastAsia"/>
                <w:color w:val="000000"/>
                <w:lang w:eastAsia="zh-TW"/>
              </w:rPr>
              <w:t>保留撤回權。</w:t>
            </w:r>
          </w:p>
          <w:p w:rsidR="00BB3688" w:rsidRPr="00BB3688" w:rsidRDefault="00BE5425" w:rsidP="00BB3688">
            <w:pPr>
              <w:pStyle w:val="aa"/>
              <w:numPr>
                <w:ilvl w:val="0"/>
                <w:numId w:val="5"/>
              </w:numPr>
              <w:ind w:left="1269" w:hanging="336"/>
              <w:jc w:val="both"/>
              <w:rPr>
                <w:rFonts w:ascii="標楷體" w:eastAsia="標楷體" w:hAnsi="標楷體"/>
                <w:color w:val="000000"/>
                <w:lang w:eastAsia="zh-TW"/>
              </w:rPr>
            </w:pPr>
            <w:r>
              <w:rPr>
                <w:rFonts w:ascii="標楷體" w:eastAsia="標楷體" w:hAnsi="標楷體" w:hint="eastAsia"/>
                <w:color w:val="000000"/>
                <w:lang w:eastAsia="zh-TW"/>
              </w:rPr>
              <w:t>其他限制條件</w:t>
            </w:r>
            <w:r>
              <w:rPr>
                <w:rFonts w:ascii="標楷體" w:eastAsia="標楷體" w:hAnsi="標楷體"/>
                <w:color w:val="000000"/>
                <w:lang w:eastAsia="zh-TW"/>
              </w:rPr>
              <w:t>授權利用</w:t>
            </w:r>
            <w:r>
              <w:rPr>
                <w:rFonts w:ascii="標楷體" w:eastAsia="標楷體" w:hAnsi="標楷體" w:hint="eastAsia"/>
                <w:color w:val="000000"/>
                <w:lang w:eastAsia="zh-TW"/>
              </w:rPr>
              <w:t>。</w:t>
            </w:r>
          </w:p>
          <w:p w:rsidR="00CA7827" w:rsidRDefault="00812C4F">
            <w:pPr>
              <w:pStyle w:val="aa"/>
              <w:numPr>
                <w:ilvl w:val="0"/>
                <w:numId w:val="1"/>
              </w:numPr>
              <w:jc w:val="both"/>
              <w:rPr>
                <w:rFonts w:ascii="標楷體" w:eastAsia="標楷體" w:hAnsi="標楷體"/>
                <w:color w:val="000000"/>
                <w:lang w:eastAsia="zh-TW"/>
              </w:rPr>
            </w:pPr>
            <w:r>
              <w:rPr>
                <w:rFonts w:ascii="標楷體" w:eastAsia="標楷體" w:hAnsi="標楷體"/>
                <w:color w:val="000000"/>
                <w:lang w:eastAsia="zh-TW"/>
              </w:rPr>
              <w:t>丙類資料：</w:t>
            </w:r>
          </w:p>
          <w:p w:rsidR="00CA7827" w:rsidRDefault="00812C4F">
            <w:pPr>
              <w:pStyle w:val="aa"/>
              <w:ind w:left="933"/>
              <w:jc w:val="both"/>
              <w:rPr>
                <w:lang w:eastAsia="zh-TW"/>
              </w:rPr>
            </w:pPr>
            <w:r>
              <w:rPr>
                <w:rFonts w:ascii="標楷體" w:eastAsia="標楷體" w:hAnsi="標楷體"/>
                <w:color w:val="000000"/>
                <w:lang w:eastAsia="zh-TW"/>
              </w:rPr>
              <w:t>為不開放資料，指</w:t>
            </w:r>
            <w:r w:rsidR="002D5745">
              <w:rPr>
                <w:rFonts w:ascii="標楷體" w:eastAsia="標楷體" w:hAnsi="標楷體" w:hint="eastAsia"/>
                <w:color w:val="000000"/>
                <w:lang w:eastAsia="zh-TW"/>
              </w:rPr>
              <w:t>依</w:t>
            </w:r>
            <w:r>
              <w:rPr>
                <w:rFonts w:ascii="標楷體" w:eastAsia="標楷體" w:hAnsi="標楷體"/>
                <w:color w:val="000000"/>
                <w:lang w:eastAsia="zh-TW"/>
              </w:rPr>
              <w:t>法律規定不得開放</w:t>
            </w:r>
            <w:r w:rsidR="002D5745">
              <w:rPr>
                <w:rFonts w:ascii="標楷體" w:eastAsia="標楷體" w:hAnsi="標楷體" w:hint="eastAsia"/>
                <w:color w:val="000000"/>
                <w:lang w:eastAsia="zh-TW"/>
              </w:rPr>
              <w:t>、</w:t>
            </w:r>
            <w:r>
              <w:rPr>
                <w:rFonts w:ascii="標楷體" w:eastAsia="標楷體" w:hAnsi="標楷體"/>
                <w:color w:val="000000"/>
                <w:lang w:eastAsia="zh-TW"/>
              </w:rPr>
              <w:t>因資料敏感或有其他特殊情形，經各機關首長核可不予開放者。</w:t>
            </w:r>
          </w:p>
          <w:p w:rsidR="00CA7827" w:rsidRDefault="00A350EF" w:rsidP="00043865">
            <w:pPr>
              <w:pStyle w:val="aa"/>
              <w:ind w:leftChars="214" w:left="514" w:firstLineChars="200" w:firstLine="480"/>
              <w:jc w:val="both"/>
              <w:rPr>
                <w:lang w:eastAsia="zh-TW"/>
              </w:rPr>
            </w:pPr>
            <w:r>
              <w:rPr>
                <w:rFonts w:ascii="標楷體" w:eastAsia="標楷體" w:hAnsi="標楷體"/>
                <w:color w:val="000000"/>
                <w:lang w:eastAsia="zh-TW"/>
              </w:rPr>
              <w:t>政府</w:t>
            </w:r>
            <w:r w:rsidR="00812C4F">
              <w:rPr>
                <w:rFonts w:ascii="標楷體" w:eastAsia="標楷體" w:hAnsi="標楷體"/>
                <w:color w:val="000000"/>
                <w:lang w:eastAsia="zh-TW"/>
              </w:rPr>
              <w:t>資料</w:t>
            </w:r>
            <w:r w:rsidR="0099449E">
              <w:rPr>
                <w:rFonts w:ascii="標楷體" w:eastAsia="標楷體" w:hAnsi="標楷體" w:hint="eastAsia"/>
                <w:color w:val="000000"/>
                <w:lang w:eastAsia="zh-TW"/>
              </w:rPr>
              <w:t>認定</w:t>
            </w:r>
            <w:r w:rsidR="00812C4F">
              <w:rPr>
                <w:rFonts w:ascii="標楷體" w:eastAsia="標楷體" w:hAnsi="標楷體"/>
                <w:color w:val="000000"/>
                <w:lang w:eastAsia="zh-TW"/>
              </w:rPr>
              <w:t>為甲類資料</w:t>
            </w:r>
            <w:r w:rsidR="0099449E">
              <w:rPr>
                <w:rFonts w:ascii="標楷體" w:eastAsia="標楷體" w:hAnsi="標楷體" w:hint="eastAsia"/>
                <w:color w:val="000000"/>
                <w:lang w:eastAsia="zh-TW"/>
              </w:rPr>
              <w:t>前</w:t>
            </w:r>
            <w:r w:rsidR="00812C4F">
              <w:rPr>
                <w:rFonts w:ascii="標楷體" w:eastAsia="標楷體" w:hAnsi="標楷體"/>
                <w:color w:val="000000"/>
                <w:lang w:eastAsia="zh-TW"/>
              </w:rPr>
              <w:t>，應整體考量該資料提供使用之公益性、是否涉及個人隱私或營業秘密、建置或取得成本與額外客製化費用</w:t>
            </w:r>
            <w:r w:rsidR="002D5745">
              <w:rPr>
                <w:rFonts w:ascii="標楷體" w:eastAsia="標楷體" w:hAnsi="標楷體" w:hint="eastAsia"/>
                <w:color w:val="000000"/>
                <w:lang w:eastAsia="zh-TW"/>
              </w:rPr>
              <w:t>、</w:t>
            </w:r>
            <w:r w:rsidR="00812C4F">
              <w:rPr>
                <w:rFonts w:ascii="標楷體" w:eastAsia="標楷體" w:hAnsi="標楷體"/>
                <w:color w:val="000000"/>
                <w:lang w:eastAsia="zh-TW"/>
              </w:rPr>
              <w:t>資料提供機關是否有完整權利及得否再轉授權等因素</w:t>
            </w:r>
            <w:r w:rsidR="000F0244">
              <w:rPr>
                <w:rFonts w:ascii="標楷體" w:eastAsia="標楷體" w:hAnsi="標楷體"/>
                <w:color w:val="000000"/>
                <w:lang w:eastAsia="zh-TW"/>
              </w:rPr>
              <w:t>；其</w:t>
            </w:r>
            <w:r w:rsidR="00812C4F">
              <w:rPr>
                <w:rFonts w:ascii="標楷體" w:eastAsia="標楷體" w:hAnsi="標楷體"/>
                <w:color w:val="000000"/>
                <w:lang w:eastAsia="zh-TW"/>
              </w:rPr>
              <w:t>建置或取得成本達一定金額者，應提報行政院資料開放諮詢小組審核後，始得列為甲類資料。</w:t>
            </w:r>
          </w:p>
          <w:p w:rsidR="00CA7827" w:rsidRDefault="002D5745" w:rsidP="00043865">
            <w:pPr>
              <w:pStyle w:val="aa"/>
              <w:ind w:leftChars="214" w:left="514" w:firstLineChars="200" w:firstLine="480"/>
              <w:jc w:val="both"/>
              <w:rPr>
                <w:rFonts w:ascii="標楷體" w:eastAsia="標楷體" w:hAnsi="標楷體"/>
                <w:color w:val="000000"/>
                <w:lang w:eastAsia="zh-TW"/>
              </w:rPr>
            </w:pPr>
            <w:r>
              <w:rPr>
                <w:rFonts w:ascii="標楷體" w:eastAsia="標楷體" w:hAnsi="標楷體" w:hint="eastAsia"/>
                <w:color w:val="000000"/>
                <w:lang w:eastAsia="zh-TW"/>
              </w:rPr>
              <w:t>前項所定</w:t>
            </w:r>
            <w:r w:rsidR="00812C4F">
              <w:rPr>
                <w:rFonts w:ascii="標楷體" w:eastAsia="標楷體" w:hAnsi="標楷體"/>
                <w:color w:val="000000"/>
                <w:lang w:eastAsia="zh-TW"/>
              </w:rPr>
              <w:t>一定金額，由行政院資料開放諮詢小組定之。</w:t>
            </w:r>
          </w:p>
          <w:p w:rsidR="00CA7827" w:rsidRDefault="00812C4F" w:rsidP="00043865">
            <w:pPr>
              <w:pStyle w:val="aa"/>
              <w:ind w:leftChars="214" w:left="514" w:firstLineChars="200" w:firstLine="480"/>
              <w:jc w:val="both"/>
              <w:rPr>
                <w:lang w:eastAsia="zh-TW"/>
              </w:rPr>
            </w:pPr>
            <w:r>
              <w:rPr>
                <w:rFonts w:ascii="標楷體" w:eastAsia="標楷體" w:hAnsi="標楷體"/>
                <w:color w:val="000000"/>
                <w:lang w:eastAsia="zh-TW"/>
              </w:rPr>
              <w:t>甲類資料之授權條款，由行政院訂定；乙類資料之授權條款，由各資料提供機關自行訂定。</w:t>
            </w:r>
          </w:p>
        </w:tc>
      </w:tr>
      <w:tr w:rsidR="00CA7827" w:rsidTr="000A7FE8">
        <w:trPr>
          <w:cantSplit/>
        </w:trPr>
        <w:tc>
          <w:tcPr>
            <w:tcW w:w="9302" w:type="dxa"/>
            <w:shd w:val="clear" w:color="auto" w:fill="FFFFFF"/>
            <w:tcMar>
              <w:top w:w="55" w:type="dxa"/>
              <w:left w:w="50" w:type="dxa"/>
              <w:bottom w:w="55" w:type="dxa"/>
              <w:right w:w="55" w:type="dxa"/>
            </w:tcMar>
          </w:tcPr>
          <w:p w:rsidR="004C4B8D" w:rsidRDefault="00812C4F" w:rsidP="008160FD">
            <w:pPr>
              <w:pStyle w:val="aa"/>
              <w:ind w:left="510" w:hanging="510"/>
              <w:jc w:val="both"/>
              <w:rPr>
                <w:lang w:eastAsia="zh-TW"/>
              </w:rPr>
            </w:pPr>
            <w:r>
              <w:rPr>
                <w:rFonts w:ascii="標楷體" w:eastAsia="標楷體" w:hAnsi="標楷體"/>
                <w:color w:val="000000"/>
                <w:lang w:eastAsia="zh-TW"/>
              </w:rPr>
              <w:t>四、乙類資料</w:t>
            </w:r>
            <w:r w:rsidR="003E4276">
              <w:rPr>
                <w:rFonts w:ascii="標楷體" w:eastAsia="標楷體" w:hAnsi="標楷體"/>
                <w:color w:val="000000"/>
                <w:lang w:eastAsia="zh-TW"/>
              </w:rPr>
              <w:t>以有償方式</w:t>
            </w:r>
            <w:r>
              <w:rPr>
                <w:rFonts w:ascii="標楷體" w:eastAsia="標楷體" w:hAnsi="標楷體"/>
                <w:color w:val="000000"/>
                <w:lang w:eastAsia="zh-TW"/>
              </w:rPr>
              <w:t>授權利用</w:t>
            </w:r>
            <w:r w:rsidR="003E4276">
              <w:rPr>
                <w:rFonts w:ascii="標楷體" w:eastAsia="標楷體" w:hAnsi="標楷體"/>
                <w:color w:val="000000"/>
                <w:lang w:eastAsia="zh-TW"/>
              </w:rPr>
              <w:t>者</w:t>
            </w:r>
            <w:r>
              <w:rPr>
                <w:rFonts w:ascii="標楷體" w:eastAsia="標楷體" w:hAnsi="標楷體"/>
                <w:color w:val="000000"/>
                <w:lang w:eastAsia="zh-TW"/>
              </w:rPr>
              <w:t>，由各機關參考</w:t>
            </w:r>
            <w:r w:rsidR="00762E46">
              <w:rPr>
                <w:rFonts w:ascii="標楷體" w:eastAsia="標楷體" w:hAnsi="標楷體"/>
                <w:color w:val="000000"/>
                <w:lang w:eastAsia="zh-TW"/>
              </w:rPr>
              <w:t>建置</w:t>
            </w:r>
            <w:r w:rsidR="008871D7">
              <w:rPr>
                <w:rFonts w:ascii="標楷體" w:eastAsia="標楷體" w:hAnsi="標楷體"/>
                <w:color w:val="000000"/>
                <w:lang w:eastAsia="zh-TW"/>
              </w:rPr>
              <w:t>、蒐集、</w:t>
            </w:r>
            <w:r w:rsidR="00762E46">
              <w:rPr>
                <w:rFonts w:ascii="標楷體" w:eastAsia="標楷體" w:hAnsi="標楷體"/>
                <w:color w:val="000000"/>
                <w:lang w:eastAsia="zh-TW"/>
              </w:rPr>
              <w:t>取得</w:t>
            </w:r>
            <w:r w:rsidR="008871D7">
              <w:rPr>
                <w:rFonts w:ascii="標楷體" w:eastAsia="標楷體" w:hAnsi="標楷體"/>
                <w:color w:val="000000"/>
                <w:lang w:eastAsia="zh-TW"/>
              </w:rPr>
              <w:t>、維護及更新</w:t>
            </w:r>
            <w:r w:rsidR="00762E46">
              <w:rPr>
                <w:rFonts w:ascii="標楷體" w:eastAsia="標楷體" w:hAnsi="標楷體"/>
                <w:color w:val="000000"/>
                <w:lang w:eastAsia="zh-TW"/>
              </w:rPr>
              <w:t>成本</w:t>
            </w:r>
            <w:r w:rsidR="00707185">
              <w:rPr>
                <w:rFonts w:ascii="標楷體" w:eastAsia="標楷體" w:hAnsi="標楷體"/>
                <w:color w:val="000000"/>
                <w:lang w:eastAsia="zh-TW"/>
              </w:rPr>
              <w:t>，</w:t>
            </w:r>
            <w:r>
              <w:rPr>
                <w:rFonts w:ascii="標楷體" w:eastAsia="標楷體" w:hAnsi="標楷體"/>
                <w:color w:val="000000"/>
                <w:lang w:eastAsia="zh-TW"/>
              </w:rPr>
              <w:t>訂定其收費基準</w:t>
            </w:r>
            <w:r w:rsidR="00365881">
              <w:rPr>
                <w:rFonts w:ascii="標楷體" w:eastAsia="標楷體" w:hAnsi="標楷體" w:hint="eastAsia"/>
                <w:color w:val="000000"/>
                <w:lang w:eastAsia="zh-TW"/>
              </w:rPr>
              <w:t>；</w:t>
            </w:r>
            <w:r w:rsidR="00C72988">
              <w:rPr>
                <w:rFonts w:ascii="標楷體" w:eastAsia="標楷體" w:hAnsi="標楷體" w:hint="eastAsia"/>
                <w:color w:val="000000"/>
                <w:lang w:eastAsia="zh-TW"/>
              </w:rPr>
              <w:t>該資料</w:t>
            </w:r>
            <w:r w:rsidR="00365881">
              <w:rPr>
                <w:rFonts w:ascii="標楷體" w:eastAsia="標楷體" w:hAnsi="標楷體" w:hint="eastAsia"/>
                <w:color w:val="000000"/>
                <w:lang w:eastAsia="zh-TW"/>
              </w:rPr>
              <w:t>涉及</w:t>
            </w:r>
            <w:r w:rsidR="00762E46">
              <w:rPr>
                <w:rFonts w:ascii="標楷體" w:eastAsia="標楷體" w:hAnsi="標楷體"/>
                <w:color w:val="000000"/>
                <w:lang w:eastAsia="zh-TW"/>
              </w:rPr>
              <w:t>商業利用</w:t>
            </w:r>
            <w:r w:rsidR="00365881">
              <w:rPr>
                <w:rFonts w:ascii="標楷體" w:eastAsia="標楷體" w:hAnsi="標楷體"/>
                <w:color w:val="000000"/>
                <w:lang w:eastAsia="zh-TW"/>
              </w:rPr>
              <w:t>者</w:t>
            </w:r>
            <w:r w:rsidR="00125B70">
              <w:rPr>
                <w:rFonts w:ascii="標楷體" w:eastAsia="標楷體" w:hAnsi="標楷體"/>
                <w:color w:val="000000"/>
                <w:lang w:eastAsia="zh-TW"/>
              </w:rPr>
              <w:t>，</w:t>
            </w:r>
            <w:r w:rsidR="00390296">
              <w:rPr>
                <w:rFonts w:ascii="標楷體" w:eastAsia="標楷體" w:hAnsi="標楷體" w:hint="eastAsia"/>
                <w:color w:val="000000"/>
                <w:lang w:eastAsia="zh-TW"/>
              </w:rPr>
              <w:t>得</w:t>
            </w:r>
            <w:r w:rsidR="00365881">
              <w:rPr>
                <w:rFonts w:ascii="標楷體" w:eastAsia="標楷體" w:hAnsi="標楷體"/>
                <w:color w:val="000000"/>
                <w:lang w:eastAsia="zh-TW"/>
              </w:rPr>
              <w:t>參考權利範圍、標的、權利金給付期間及方式</w:t>
            </w:r>
            <w:r w:rsidR="00036118">
              <w:rPr>
                <w:rFonts w:ascii="標楷體" w:eastAsia="標楷體" w:hAnsi="標楷體"/>
                <w:color w:val="000000"/>
                <w:lang w:eastAsia="zh-TW"/>
              </w:rPr>
              <w:t>等</w:t>
            </w:r>
            <w:r w:rsidR="00F658B8">
              <w:rPr>
                <w:rFonts w:ascii="標楷體" w:eastAsia="標楷體" w:hAnsi="標楷體"/>
                <w:color w:val="000000"/>
                <w:lang w:eastAsia="zh-TW"/>
              </w:rPr>
              <w:t>項目</w:t>
            </w:r>
            <w:r w:rsidR="00365881">
              <w:rPr>
                <w:rFonts w:ascii="標楷體" w:eastAsia="標楷體" w:hAnsi="標楷體"/>
                <w:color w:val="000000"/>
                <w:lang w:eastAsia="zh-TW"/>
              </w:rPr>
              <w:t>，</w:t>
            </w:r>
            <w:r w:rsidR="008160FD">
              <w:rPr>
                <w:rFonts w:ascii="標楷體" w:eastAsia="標楷體" w:hAnsi="標楷體" w:hint="eastAsia"/>
                <w:color w:val="000000"/>
                <w:lang w:eastAsia="zh-TW"/>
              </w:rPr>
              <w:t>約</w:t>
            </w:r>
            <w:r w:rsidR="00762E46">
              <w:rPr>
                <w:rFonts w:ascii="標楷體" w:eastAsia="標楷體" w:hAnsi="標楷體"/>
                <w:color w:val="000000"/>
                <w:lang w:eastAsia="zh-TW"/>
              </w:rPr>
              <w:t>定不同費率或報償比率</w:t>
            </w:r>
            <w:r w:rsidR="00762E46">
              <w:rPr>
                <w:rFonts w:ascii="標楷體" w:eastAsia="標楷體" w:hAnsi="標楷體" w:hint="eastAsia"/>
                <w:color w:val="000000"/>
                <w:lang w:eastAsia="zh-TW"/>
              </w:rPr>
              <w:t>。</w:t>
            </w:r>
          </w:p>
        </w:tc>
      </w:tr>
      <w:tr w:rsidR="00CA7827" w:rsidTr="000A7FE8">
        <w:trPr>
          <w:cantSplit/>
        </w:trPr>
        <w:tc>
          <w:tcPr>
            <w:tcW w:w="9302" w:type="dxa"/>
            <w:shd w:val="clear" w:color="auto" w:fill="FFFFFF"/>
            <w:tcMar>
              <w:top w:w="55" w:type="dxa"/>
              <w:left w:w="50" w:type="dxa"/>
              <w:bottom w:w="55" w:type="dxa"/>
              <w:right w:w="55" w:type="dxa"/>
            </w:tcMar>
          </w:tcPr>
          <w:p w:rsidR="00CA7827" w:rsidRDefault="00812C4F">
            <w:pPr>
              <w:pStyle w:val="aa"/>
              <w:ind w:left="510" w:hanging="510"/>
              <w:jc w:val="both"/>
              <w:rPr>
                <w:lang w:eastAsia="zh-TW"/>
              </w:rPr>
            </w:pPr>
            <w:r>
              <w:rPr>
                <w:rFonts w:ascii="標楷體" w:eastAsia="標楷體" w:hAnsi="標楷體"/>
                <w:color w:val="000000"/>
                <w:lang w:eastAsia="zh-TW"/>
              </w:rPr>
              <w:t>五、各機關就乙類資料收費基準之擬訂，</w:t>
            </w:r>
            <w:r w:rsidR="00A350EF">
              <w:rPr>
                <w:rFonts w:ascii="標楷體" w:eastAsia="標楷體" w:hAnsi="標楷體"/>
                <w:color w:val="000000"/>
                <w:lang w:eastAsia="zh-TW"/>
              </w:rPr>
              <w:t>應</w:t>
            </w:r>
            <w:r>
              <w:rPr>
                <w:rFonts w:ascii="標楷體" w:eastAsia="標楷體" w:hAnsi="標楷體"/>
                <w:color w:val="000000"/>
                <w:lang w:eastAsia="zh-TW"/>
              </w:rPr>
              <w:t>依下列程序辦理：</w:t>
            </w:r>
          </w:p>
          <w:p w:rsidR="00CA7827" w:rsidRDefault="00812C4F">
            <w:pPr>
              <w:pStyle w:val="aa"/>
              <w:numPr>
                <w:ilvl w:val="0"/>
                <w:numId w:val="3"/>
              </w:numPr>
              <w:jc w:val="both"/>
              <w:rPr>
                <w:lang w:eastAsia="zh-TW"/>
              </w:rPr>
            </w:pPr>
            <w:r>
              <w:rPr>
                <w:rFonts w:ascii="標楷體" w:eastAsia="標楷體" w:hAnsi="標楷體"/>
                <w:color w:val="000000"/>
                <w:lang w:eastAsia="zh-TW"/>
              </w:rPr>
              <w:t>於機關網站及政府資料開放平臺公開徵詢各界意見，徵詢期間不得少於</w:t>
            </w:r>
            <w:r w:rsidR="002D5745">
              <w:rPr>
                <w:rFonts w:ascii="標楷體" w:eastAsia="標楷體" w:hAnsi="標楷體" w:hint="eastAsia"/>
                <w:color w:val="000000"/>
                <w:lang w:eastAsia="zh-TW"/>
              </w:rPr>
              <w:t>十四</w:t>
            </w:r>
            <w:r>
              <w:rPr>
                <w:rFonts w:ascii="標楷體" w:eastAsia="標楷體" w:hAnsi="標楷體"/>
                <w:color w:val="000000"/>
                <w:lang w:eastAsia="zh-TW"/>
              </w:rPr>
              <w:t>日。</w:t>
            </w:r>
          </w:p>
          <w:p w:rsidR="00CA7827" w:rsidRDefault="00812C4F">
            <w:pPr>
              <w:pStyle w:val="aa"/>
              <w:numPr>
                <w:ilvl w:val="0"/>
                <w:numId w:val="3"/>
              </w:numPr>
              <w:jc w:val="both"/>
              <w:rPr>
                <w:rFonts w:ascii="標楷體" w:eastAsia="標楷體" w:hAnsi="標楷體"/>
                <w:color w:val="000000"/>
                <w:lang w:eastAsia="zh-TW"/>
              </w:rPr>
            </w:pPr>
            <w:r>
              <w:rPr>
                <w:rFonts w:ascii="標楷體" w:eastAsia="標楷體" w:hAnsi="標楷體"/>
                <w:color w:val="000000"/>
                <w:lang w:eastAsia="zh-TW"/>
              </w:rPr>
              <w:t>彙整各界意見提報中央二級機關諮詢小組進行審核。</w:t>
            </w:r>
          </w:p>
          <w:p w:rsidR="00CA7827" w:rsidRDefault="000F0244">
            <w:pPr>
              <w:pStyle w:val="aa"/>
              <w:numPr>
                <w:ilvl w:val="0"/>
                <w:numId w:val="3"/>
              </w:numPr>
              <w:jc w:val="both"/>
              <w:rPr>
                <w:lang w:eastAsia="zh-TW"/>
              </w:rPr>
            </w:pPr>
            <w:r>
              <w:rPr>
                <w:rFonts w:ascii="標楷體" w:eastAsia="標楷體" w:hAnsi="標楷體"/>
                <w:color w:val="000000"/>
                <w:lang w:eastAsia="zh-TW"/>
              </w:rPr>
              <w:t>依前款規定</w:t>
            </w:r>
            <w:r w:rsidR="00812C4F">
              <w:rPr>
                <w:rFonts w:ascii="標楷體" w:eastAsia="標楷體" w:hAnsi="標楷體"/>
                <w:color w:val="000000"/>
                <w:lang w:eastAsia="zh-TW"/>
              </w:rPr>
              <w:t>審核通過後</w:t>
            </w:r>
            <w:r>
              <w:rPr>
                <w:rFonts w:ascii="標楷體" w:eastAsia="標楷體" w:hAnsi="標楷體"/>
                <w:color w:val="000000"/>
                <w:lang w:eastAsia="zh-TW"/>
              </w:rPr>
              <w:t>，</w:t>
            </w:r>
            <w:r w:rsidR="00812C4F">
              <w:rPr>
                <w:rFonts w:ascii="標楷體" w:eastAsia="標楷體" w:hAnsi="標楷體"/>
                <w:color w:val="000000"/>
                <w:lang w:eastAsia="zh-TW"/>
              </w:rPr>
              <w:t>提報行政院備查。</w:t>
            </w:r>
          </w:p>
          <w:p w:rsidR="00CA7827" w:rsidRPr="003925D5" w:rsidRDefault="00812C4F">
            <w:pPr>
              <w:pStyle w:val="aa"/>
              <w:numPr>
                <w:ilvl w:val="0"/>
                <w:numId w:val="3"/>
              </w:numPr>
              <w:jc w:val="both"/>
              <w:rPr>
                <w:rFonts w:ascii="標楷體" w:eastAsia="標楷體" w:hAnsi="標楷體"/>
                <w:color w:val="000000"/>
                <w:lang w:eastAsia="zh-TW"/>
              </w:rPr>
            </w:pPr>
            <w:r>
              <w:rPr>
                <w:rFonts w:ascii="標楷體" w:eastAsia="標楷體" w:hAnsi="標楷體"/>
                <w:color w:val="000000"/>
                <w:lang w:eastAsia="zh-TW"/>
              </w:rPr>
              <w:t>公開</w:t>
            </w:r>
            <w:r w:rsidR="000F0244">
              <w:rPr>
                <w:rFonts w:ascii="標楷體" w:eastAsia="標楷體" w:hAnsi="標楷體"/>
                <w:color w:val="000000"/>
                <w:lang w:eastAsia="zh-TW"/>
              </w:rPr>
              <w:t>第二款之</w:t>
            </w:r>
            <w:r>
              <w:rPr>
                <w:rFonts w:ascii="標楷體" w:eastAsia="標楷體" w:hAnsi="標楷體"/>
                <w:color w:val="000000"/>
                <w:lang w:eastAsia="zh-TW"/>
              </w:rPr>
              <w:t>審核結果於機關網站及政府資料開放平臺。</w:t>
            </w:r>
          </w:p>
          <w:p w:rsidR="00CA7827" w:rsidRDefault="003925D5" w:rsidP="003925D5">
            <w:pPr>
              <w:pStyle w:val="aa"/>
              <w:jc w:val="both"/>
              <w:rPr>
                <w:lang w:eastAsia="zh-TW"/>
              </w:rPr>
            </w:pPr>
            <w:r>
              <w:rPr>
                <w:rFonts w:ascii="標楷體" w:eastAsia="標楷體" w:hAnsi="標楷體" w:hint="eastAsia"/>
                <w:color w:val="000000"/>
                <w:lang w:eastAsia="zh-TW"/>
              </w:rPr>
              <w:t>六</w:t>
            </w:r>
            <w:r>
              <w:rPr>
                <w:rFonts w:ascii="標楷體" w:eastAsia="標楷體" w:hAnsi="標楷體"/>
                <w:color w:val="000000"/>
                <w:lang w:eastAsia="zh-TW"/>
              </w:rPr>
              <w:t>、</w:t>
            </w:r>
            <w:r w:rsidR="00812C4F">
              <w:rPr>
                <w:rFonts w:ascii="標楷體" w:eastAsia="標楷體" w:hAnsi="標楷體"/>
                <w:color w:val="000000"/>
                <w:lang w:eastAsia="zh-TW"/>
              </w:rPr>
              <w:t>各機關應定期就政府資料檢視下列項目之妥適性，並適時調整：</w:t>
            </w:r>
          </w:p>
          <w:p w:rsidR="00CA7827" w:rsidRDefault="00812C4F">
            <w:pPr>
              <w:pStyle w:val="aa"/>
              <w:numPr>
                <w:ilvl w:val="0"/>
                <w:numId w:val="4"/>
              </w:numPr>
              <w:jc w:val="both"/>
              <w:rPr>
                <w:rFonts w:ascii="標楷體" w:eastAsia="標楷體" w:hAnsi="標楷體"/>
                <w:color w:val="000000"/>
                <w:lang w:eastAsia="zh-TW"/>
              </w:rPr>
            </w:pPr>
            <w:r>
              <w:rPr>
                <w:rFonts w:ascii="標楷體" w:eastAsia="標楷體" w:hAnsi="標楷體"/>
                <w:color w:val="000000"/>
                <w:lang w:eastAsia="zh-TW"/>
              </w:rPr>
              <w:t>甲類資料清單及預計開放時程。</w:t>
            </w:r>
          </w:p>
          <w:p w:rsidR="00CA7827" w:rsidRDefault="00812C4F">
            <w:pPr>
              <w:pStyle w:val="aa"/>
              <w:numPr>
                <w:ilvl w:val="0"/>
                <w:numId w:val="4"/>
              </w:numPr>
              <w:jc w:val="both"/>
              <w:rPr>
                <w:lang w:eastAsia="zh-TW"/>
              </w:rPr>
            </w:pPr>
            <w:r>
              <w:rPr>
                <w:rFonts w:ascii="標楷體" w:eastAsia="標楷體" w:hAnsi="標楷體"/>
                <w:color w:val="000000"/>
                <w:lang w:eastAsia="zh-TW"/>
              </w:rPr>
              <w:t>乙類資料清單及限制利用之理由。</w:t>
            </w:r>
          </w:p>
          <w:p w:rsidR="00CA7827" w:rsidRDefault="00812C4F">
            <w:pPr>
              <w:pStyle w:val="aa"/>
              <w:numPr>
                <w:ilvl w:val="0"/>
                <w:numId w:val="4"/>
              </w:numPr>
              <w:jc w:val="both"/>
              <w:rPr>
                <w:rFonts w:ascii="標楷體" w:eastAsia="標楷體" w:hAnsi="標楷體"/>
                <w:color w:val="000000"/>
              </w:rPr>
            </w:pPr>
            <w:r>
              <w:rPr>
                <w:rFonts w:ascii="標楷體" w:eastAsia="標楷體" w:hAnsi="標楷體"/>
                <w:color w:val="000000"/>
              </w:rPr>
              <w:t>乙類資料之收費基準。</w:t>
            </w:r>
          </w:p>
          <w:p w:rsidR="00CA7827" w:rsidRDefault="00812C4F">
            <w:pPr>
              <w:pStyle w:val="aa"/>
              <w:numPr>
                <w:ilvl w:val="0"/>
                <w:numId w:val="4"/>
              </w:numPr>
              <w:jc w:val="both"/>
              <w:rPr>
                <w:rFonts w:ascii="標楷體" w:eastAsia="標楷體" w:hAnsi="標楷體"/>
                <w:color w:val="000000"/>
                <w:lang w:eastAsia="zh-TW"/>
              </w:rPr>
            </w:pPr>
            <w:r>
              <w:rPr>
                <w:rFonts w:ascii="標楷體" w:eastAsia="標楷體" w:hAnsi="標楷體"/>
                <w:color w:val="000000"/>
                <w:lang w:eastAsia="zh-TW"/>
              </w:rPr>
              <w:t>乙類資料</w:t>
            </w:r>
            <w:r w:rsidR="000F0244">
              <w:rPr>
                <w:rFonts w:ascii="標楷體" w:eastAsia="標楷體" w:hAnsi="標楷體"/>
                <w:color w:val="000000"/>
                <w:lang w:eastAsia="zh-TW"/>
              </w:rPr>
              <w:t>授權利用</w:t>
            </w:r>
            <w:r>
              <w:rPr>
                <w:rFonts w:ascii="標楷體" w:eastAsia="標楷體" w:hAnsi="標楷體"/>
                <w:color w:val="000000"/>
                <w:lang w:eastAsia="zh-TW"/>
              </w:rPr>
              <w:t>所創造之實質效益。</w:t>
            </w:r>
          </w:p>
          <w:p w:rsidR="002D5745" w:rsidRPr="002D5745" w:rsidRDefault="002D5745" w:rsidP="00BB5637">
            <w:pPr>
              <w:pStyle w:val="aa"/>
              <w:numPr>
                <w:ilvl w:val="0"/>
                <w:numId w:val="4"/>
              </w:numPr>
              <w:jc w:val="both"/>
              <w:rPr>
                <w:rFonts w:ascii="標楷體" w:eastAsia="標楷體" w:hAnsi="標楷體"/>
                <w:color w:val="000000"/>
                <w:lang w:eastAsia="zh-TW"/>
              </w:rPr>
            </w:pPr>
            <w:r w:rsidRPr="002D5745">
              <w:rPr>
                <w:rFonts w:ascii="標楷體" w:eastAsia="標楷體" w:hAnsi="標楷體"/>
                <w:color w:val="000000"/>
                <w:lang w:eastAsia="zh-TW"/>
              </w:rPr>
              <w:t>丙類資料不開放之法令依據或理由。</w:t>
            </w:r>
          </w:p>
          <w:p w:rsidR="00CA7827" w:rsidRDefault="00812C4F" w:rsidP="00043865">
            <w:pPr>
              <w:pStyle w:val="aa"/>
              <w:ind w:leftChars="214" w:left="514" w:firstLineChars="200" w:firstLine="480"/>
              <w:jc w:val="both"/>
              <w:rPr>
                <w:lang w:eastAsia="zh-TW"/>
              </w:rPr>
            </w:pPr>
            <w:r>
              <w:rPr>
                <w:rFonts w:ascii="標楷體" w:eastAsia="標楷體" w:hAnsi="標楷體"/>
                <w:color w:val="000000"/>
                <w:lang w:eastAsia="zh-TW"/>
              </w:rPr>
              <w:t>前項定期檢視之週期，由行政院資料開放諮詢小組定之。</w:t>
            </w:r>
          </w:p>
        </w:tc>
      </w:tr>
      <w:tr w:rsidR="00CA7827" w:rsidTr="000A7FE8">
        <w:trPr>
          <w:cantSplit/>
        </w:trPr>
        <w:tc>
          <w:tcPr>
            <w:tcW w:w="9302" w:type="dxa"/>
            <w:shd w:val="clear" w:color="auto" w:fill="FFFFFF"/>
            <w:tcMar>
              <w:top w:w="55" w:type="dxa"/>
              <w:left w:w="50" w:type="dxa"/>
              <w:bottom w:w="55" w:type="dxa"/>
              <w:right w:w="55" w:type="dxa"/>
            </w:tcMar>
          </w:tcPr>
          <w:p w:rsidR="00CA7827" w:rsidRDefault="003925D5">
            <w:pPr>
              <w:pStyle w:val="aa"/>
              <w:ind w:left="510" w:hanging="510"/>
              <w:jc w:val="both"/>
              <w:rPr>
                <w:rFonts w:ascii="標楷體" w:eastAsia="標楷體" w:hAnsi="標楷體"/>
                <w:color w:val="000000"/>
                <w:lang w:eastAsia="zh-TW"/>
              </w:rPr>
            </w:pPr>
            <w:r>
              <w:rPr>
                <w:rFonts w:ascii="標楷體" w:eastAsia="標楷體" w:hAnsi="標楷體" w:hint="eastAsia"/>
                <w:color w:val="000000"/>
                <w:lang w:eastAsia="zh-TW"/>
              </w:rPr>
              <w:lastRenderedPageBreak/>
              <w:t>七</w:t>
            </w:r>
            <w:r w:rsidR="00812C4F">
              <w:rPr>
                <w:rFonts w:ascii="標楷體" w:eastAsia="標楷體" w:hAnsi="標楷體"/>
                <w:color w:val="000000"/>
                <w:lang w:eastAsia="zh-TW"/>
              </w:rPr>
              <w:t>、各機關應將甲類資料清單、乙類資料清單</w:t>
            </w:r>
            <w:r w:rsidR="000F0244">
              <w:rPr>
                <w:rFonts w:ascii="標楷體" w:eastAsia="標楷體" w:hAnsi="標楷體"/>
                <w:color w:val="000000"/>
                <w:lang w:eastAsia="zh-TW"/>
              </w:rPr>
              <w:t>及其</w:t>
            </w:r>
            <w:r w:rsidR="00812C4F">
              <w:rPr>
                <w:rFonts w:ascii="標楷體" w:eastAsia="標楷體" w:hAnsi="標楷體"/>
                <w:color w:val="000000"/>
                <w:lang w:eastAsia="zh-TW"/>
              </w:rPr>
              <w:t>收費基準，公開於政府資料開放平臺。</w:t>
            </w:r>
          </w:p>
        </w:tc>
      </w:tr>
    </w:tbl>
    <w:p w:rsidR="00CA7827" w:rsidRDefault="00CA7827" w:rsidP="0099449E">
      <w:pPr>
        <w:pStyle w:val="1"/>
        <w:jc w:val="both"/>
        <w:rPr>
          <w:rFonts w:ascii="標楷體" w:eastAsia="標楷體" w:hAnsi="標楷體"/>
          <w:color w:val="000000"/>
          <w:lang w:eastAsia="zh-TW"/>
        </w:rPr>
      </w:pPr>
    </w:p>
    <w:sectPr w:rsidR="00CA7827" w:rsidSect="00A07C5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DC0" w:rsidRDefault="00F87DC0">
      <w:r>
        <w:separator/>
      </w:r>
    </w:p>
  </w:endnote>
  <w:endnote w:type="continuationSeparator" w:id="0">
    <w:p w:rsidR="00F87DC0" w:rsidRDefault="00F8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sig w:usb0="E0000AFF" w:usb1="500078FF" w:usb2="00000021" w:usb3="00000000" w:csb0="000001BF" w:csb1="00000000"/>
  </w:font>
  <w:font w:name="文泉驛微米黑">
    <w:charset w:val="00"/>
    <w:family w:val="roman"/>
    <w:pitch w:val="default"/>
  </w:font>
  <w:font w:name="Droid Sans Fallback">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DC0" w:rsidRDefault="00F87DC0">
      <w:r>
        <w:rPr>
          <w:color w:val="000000"/>
        </w:rPr>
        <w:separator/>
      </w:r>
    </w:p>
  </w:footnote>
  <w:footnote w:type="continuationSeparator" w:id="0">
    <w:p w:rsidR="00F87DC0" w:rsidRDefault="00F87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47512"/>
    <w:multiLevelType w:val="multilevel"/>
    <w:tmpl w:val="19BEED5C"/>
    <w:lvl w:ilvl="0">
      <w:start w:val="1"/>
      <w:numFmt w:val="taiwaneseCountingThousand"/>
      <w:lvlText w:val="(%1)"/>
      <w:lvlJc w:val="left"/>
      <w:pPr>
        <w:ind w:left="933" w:hanging="480"/>
      </w:pPr>
      <w:rPr>
        <w:rFonts w:ascii="標楷體" w:eastAsia="標楷體" w:hAnsi="標楷體"/>
      </w:rPr>
    </w:lvl>
    <w:lvl w:ilvl="1">
      <w:start w:val="1"/>
      <w:numFmt w:val="none"/>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FE73D5"/>
    <w:multiLevelType w:val="hybridMultilevel"/>
    <w:tmpl w:val="FB6CF45C"/>
    <w:lvl w:ilvl="0" w:tplc="0409000F">
      <w:start w:val="1"/>
      <w:numFmt w:val="decimal"/>
      <w:lvlText w:val="%1."/>
      <w:lvlJc w:val="left"/>
      <w:pPr>
        <w:ind w:left="1413" w:hanging="480"/>
      </w:p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2" w15:restartNumberingAfterBreak="0">
    <w:nsid w:val="3C8B70D4"/>
    <w:multiLevelType w:val="multilevel"/>
    <w:tmpl w:val="8814DC88"/>
    <w:lvl w:ilvl="0">
      <w:start w:val="1"/>
      <w:numFmt w:val="taiwaneseCountingThousand"/>
      <w:lvlText w:val="(%1)"/>
      <w:lvlJc w:val="left"/>
      <w:pPr>
        <w:ind w:left="933" w:hanging="480"/>
      </w:pPr>
      <w:rPr>
        <w:rFonts w:ascii="標楷體" w:eastAsia="標楷體" w:hAnsi="標楷體"/>
      </w:rPr>
    </w:lvl>
    <w:lvl w:ilvl="1">
      <w:start w:val="1"/>
      <w:numFmt w:val="none"/>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AAD346B"/>
    <w:multiLevelType w:val="multilevel"/>
    <w:tmpl w:val="69AA0570"/>
    <w:lvl w:ilvl="0">
      <w:start w:val="1"/>
      <w:numFmt w:val="taiwaneseCountingThousand"/>
      <w:lvlText w:val="(%1)"/>
      <w:lvlJc w:val="left"/>
      <w:pPr>
        <w:ind w:left="933" w:hanging="480"/>
      </w:pPr>
      <w:rPr>
        <w:rFonts w:ascii="標楷體" w:eastAsia="標楷體" w:hAnsi="標楷體"/>
      </w:rPr>
    </w:lvl>
    <w:lvl w:ilvl="1">
      <w:start w:val="1"/>
      <w:numFmt w:val="none"/>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EEA344E"/>
    <w:multiLevelType w:val="multilevel"/>
    <w:tmpl w:val="A23C5FB2"/>
    <w:lvl w:ilvl="0">
      <w:start w:val="1"/>
      <w:numFmt w:val="taiwaneseCountingThousand"/>
      <w:lvlText w:val="(%1)"/>
      <w:lvlJc w:val="left"/>
      <w:pPr>
        <w:ind w:left="933" w:hanging="480"/>
      </w:pPr>
    </w:lvl>
    <w:lvl w:ilvl="1">
      <w:start w:val="1"/>
      <w:numFmt w:val="none"/>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27"/>
    <w:rsid w:val="00020804"/>
    <w:rsid w:val="00036118"/>
    <w:rsid w:val="00043865"/>
    <w:rsid w:val="000A4297"/>
    <w:rsid w:val="000A7FE8"/>
    <w:rsid w:val="000E5306"/>
    <w:rsid w:val="000F0244"/>
    <w:rsid w:val="00125B70"/>
    <w:rsid w:val="0021723D"/>
    <w:rsid w:val="00294FA0"/>
    <w:rsid w:val="002D5745"/>
    <w:rsid w:val="003262E9"/>
    <w:rsid w:val="00365881"/>
    <w:rsid w:val="00390296"/>
    <w:rsid w:val="003925D5"/>
    <w:rsid w:val="003E4276"/>
    <w:rsid w:val="0047467A"/>
    <w:rsid w:val="004C4B8D"/>
    <w:rsid w:val="004C5526"/>
    <w:rsid w:val="00625405"/>
    <w:rsid w:val="006F6F36"/>
    <w:rsid w:val="00707185"/>
    <w:rsid w:val="00760175"/>
    <w:rsid w:val="00762E46"/>
    <w:rsid w:val="00812C4F"/>
    <w:rsid w:val="008160FD"/>
    <w:rsid w:val="008871D7"/>
    <w:rsid w:val="008D1F36"/>
    <w:rsid w:val="008E0471"/>
    <w:rsid w:val="00933130"/>
    <w:rsid w:val="009474CD"/>
    <w:rsid w:val="00986F58"/>
    <w:rsid w:val="0099449E"/>
    <w:rsid w:val="00A07C54"/>
    <w:rsid w:val="00A350EF"/>
    <w:rsid w:val="00A545B7"/>
    <w:rsid w:val="00AD43B3"/>
    <w:rsid w:val="00BB3688"/>
    <w:rsid w:val="00BC7375"/>
    <w:rsid w:val="00BE5425"/>
    <w:rsid w:val="00C61D72"/>
    <w:rsid w:val="00C72988"/>
    <w:rsid w:val="00C73340"/>
    <w:rsid w:val="00CA7827"/>
    <w:rsid w:val="00CB20E9"/>
    <w:rsid w:val="00CD052F"/>
    <w:rsid w:val="00D1526E"/>
    <w:rsid w:val="00D37150"/>
    <w:rsid w:val="00D93541"/>
    <w:rsid w:val="00DC7C86"/>
    <w:rsid w:val="00E12122"/>
    <w:rsid w:val="00E267DA"/>
    <w:rsid w:val="00ED2D91"/>
    <w:rsid w:val="00F13196"/>
    <w:rsid w:val="00F654C8"/>
    <w:rsid w:val="00F658B8"/>
    <w:rsid w:val="00F672C9"/>
    <w:rsid w:val="00F87DC0"/>
    <w:rsid w:val="00FE1A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0C9F27-B791-4704-A446-18904266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07C54"/>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A07C54"/>
    <w:pPr>
      <w:suppressAutoHyphens/>
    </w:pPr>
  </w:style>
  <w:style w:type="character" w:customStyle="1" w:styleId="a3">
    <w:name w:val="頁首 字元"/>
    <w:basedOn w:val="a0"/>
    <w:rsid w:val="00A07C54"/>
    <w:rPr>
      <w:rFonts w:cs="Mangal"/>
      <w:sz w:val="20"/>
      <w:szCs w:val="18"/>
    </w:rPr>
  </w:style>
  <w:style w:type="character" w:customStyle="1" w:styleId="a4">
    <w:name w:val="頁尾 字元"/>
    <w:basedOn w:val="a0"/>
    <w:rsid w:val="00A07C54"/>
    <w:rPr>
      <w:rFonts w:cs="Mangal"/>
      <w:sz w:val="20"/>
      <w:szCs w:val="18"/>
    </w:rPr>
  </w:style>
  <w:style w:type="character" w:customStyle="1" w:styleId="a5">
    <w:name w:val="註解方塊文字 字元"/>
    <w:basedOn w:val="a0"/>
    <w:rsid w:val="00A07C54"/>
    <w:rPr>
      <w:rFonts w:ascii="Cambria" w:eastAsia="新細明體" w:hAnsi="Cambria" w:cs="Mangal"/>
      <w:sz w:val="18"/>
      <w:szCs w:val="16"/>
    </w:rPr>
  </w:style>
  <w:style w:type="paragraph" w:customStyle="1" w:styleId="10">
    <w:name w:val="標題1"/>
    <w:basedOn w:val="1"/>
    <w:next w:val="2"/>
    <w:rsid w:val="00A07C54"/>
    <w:pPr>
      <w:keepNext/>
      <w:spacing w:before="240" w:after="120"/>
    </w:pPr>
    <w:rPr>
      <w:rFonts w:ascii="Liberation Sans" w:eastAsia="文泉驛微米黑" w:hAnsi="Liberation Sans" w:cs="Droid Sans Fallback"/>
      <w:sz w:val="28"/>
      <w:szCs w:val="28"/>
    </w:rPr>
  </w:style>
  <w:style w:type="paragraph" w:customStyle="1" w:styleId="2">
    <w:name w:val="內文2"/>
    <w:basedOn w:val="1"/>
    <w:rsid w:val="00A07C54"/>
    <w:pPr>
      <w:spacing w:after="140" w:line="288" w:lineRule="auto"/>
    </w:pPr>
  </w:style>
  <w:style w:type="paragraph" w:styleId="a6">
    <w:name w:val="List"/>
    <w:basedOn w:val="2"/>
    <w:rsid w:val="00A07C54"/>
    <w:rPr>
      <w:rFonts w:cs="Droid Sans Fallback"/>
    </w:rPr>
  </w:style>
  <w:style w:type="paragraph" w:customStyle="1" w:styleId="a7">
    <w:name w:val="標籤"/>
    <w:basedOn w:val="1"/>
    <w:rsid w:val="00A07C54"/>
    <w:pPr>
      <w:suppressLineNumbers/>
      <w:spacing w:before="120" w:after="120"/>
    </w:pPr>
    <w:rPr>
      <w:rFonts w:cs="Droid Sans Fallback"/>
      <w:i/>
      <w:iCs/>
    </w:rPr>
  </w:style>
  <w:style w:type="paragraph" w:customStyle="1" w:styleId="a8">
    <w:name w:val="目錄"/>
    <w:basedOn w:val="1"/>
    <w:rsid w:val="00A07C54"/>
    <w:pPr>
      <w:suppressLineNumbers/>
    </w:pPr>
    <w:rPr>
      <w:rFonts w:cs="Droid Sans Fallback"/>
    </w:rPr>
  </w:style>
  <w:style w:type="paragraph" w:styleId="a9">
    <w:name w:val="caption"/>
    <w:basedOn w:val="1"/>
    <w:rsid w:val="00A07C54"/>
    <w:pPr>
      <w:suppressLineNumbers/>
      <w:spacing w:before="120" w:after="120"/>
    </w:pPr>
    <w:rPr>
      <w:i/>
      <w:iCs/>
    </w:rPr>
  </w:style>
  <w:style w:type="paragraph" w:customStyle="1" w:styleId="aa">
    <w:name w:val="表格內容"/>
    <w:basedOn w:val="1"/>
    <w:rsid w:val="00A07C54"/>
    <w:pPr>
      <w:suppressLineNumbers/>
    </w:pPr>
  </w:style>
  <w:style w:type="paragraph" w:styleId="ab">
    <w:name w:val="header"/>
    <w:basedOn w:val="1"/>
    <w:rsid w:val="00A07C54"/>
    <w:pPr>
      <w:tabs>
        <w:tab w:val="center" w:pos="4153"/>
        <w:tab w:val="right" w:pos="8306"/>
      </w:tabs>
    </w:pPr>
    <w:rPr>
      <w:rFonts w:cs="Mangal"/>
      <w:sz w:val="20"/>
      <w:szCs w:val="18"/>
    </w:rPr>
  </w:style>
  <w:style w:type="paragraph" w:styleId="ac">
    <w:name w:val="footer"/>
    <w:basedOn w:val="1"/>
    <w:rsid w:val="00A07C54"/>
    <w:pPr>
      <w:tabs>
        <w:tab w:val="center" w:pos="4153"/>
        <w:tab w:val="right" w:pos="8306"/>
      </w:tabs>
    </w:pPr>
    <w:rPr>
      <w:rFonts w:cs="Mangal"/>
      <w:sz w:val="20"/>
      <w:szCs w:val="18"/>
    </w:rPr>
  </w:style>
  <w:style w:type="paragraph" w:styleId="ad">
    <w:name w:val="Balloon Text"/>
    <w:basedOn w:val="1"/>
    <w:rsid w:val="00A07C54"/>
    <w:rPr>
      <w:rFonts w:ascii="Cambria" w:eastAsia="新細明體" w:hAnsi="Cambria" w:cs="Mangal"/>
      <w:sz w:val="18"/>
      <w:szCs w:val="16"/>
    </w:rPr>
  </w:style>
  <w:style w:type="paragraph" w:customStyle="1" w:styleId="Textbody">
    <w:name w:val="Text body"/>
    <w:rsid w:val="00BB3688"/>
    <w:pPr>
      <w:widowControl w:val="0"/>
      <w:suppressAutoHyphens/>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08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C27B3-3882-4ED0-B90D-D9DA0EAC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RDEC</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許士彥</cp:lastModifiedBy>
  <cp:revision>2</cp:revision>
  <cp:lastPrinted>2015-11-10T03:43:00Z</cp:lastPrinted>
  <dcterms:created xsi:type="dcterms:W3CDTF">2016-02-26T00:06:00Z</dcterms:created>
  <dcterms:modified xsi:type="dcterms:W3CDTF">2016-02-26T00:06:00Z</dcterms:modified>
</cp:coreProperties>
</file>