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0C" w:rsidRPr="00B640D1" w:rsidRDefault="005E6B0C" w:rsidP="00A5791C">
      <w:pPr>
        <w:spacing w:line="140" w:lineRule="atLeast"/>
        <w:jc w:val="center"/>
        <w:rPr>
          <w:rFonts w:ascii="標楷體" w:eastAsia="標楷體" w:hAnsi="標楷體"/>
          <w:b/>
          <w:sz w:val="28"/>
          <w:szCs w:val="28"/>
        </w:rPr>
      </w:pPr>
      <w:r w:rsidRPr="00B640D1">
        <w:rPr>
          <w:rFonts w:ascii="標楷體" w:eastAsia="標楷體" w:hAnsi="標楷體" w:hint="eastAsia"/>
          <w:b/>
          <w:sz w:val="28"/>
          <w:szCs w:val="28"/>
        </w:rPr>
        <w:t>臺北市10</w:t>
      </w:r>
      <w:r w:rsidR="004A004B">
        <w:rPr>
          <w:rFonts w:ascii="標楷體" w:eastAsia="標楷體" w:hAnsi="標楷體" w:hint="eastAsia"/>
          <w:b/>
          <w:sz w:val="28"/>
          <w:szCs w:val="28"/>
        </w:rPr>
        <w:t>8</w:t>
      </w:r>
      <w:r w:rsidRPr="00B640D1">
        <w:rPr>
          <w:rFonts w:ascii="標楷體" w:eastAsia="標楷體" w:hAnsi="標楷體" w:hint="eastAsia"/>
          <w:b/>
          <w:sz w:val="28"/>
          <w:szCs w:val="28"/>
        </w:rPr>
        <w:t>學年度</w:t>
      </w:r>
      <w:r w:rsidR="00EB01C3">
        <w:rPr>
          <w:rFonts w:ascii="標楷體" w:eastAsia="標楷體" w:hAnsi="標楷體" w:hint="eastAsia"/>
          <w:b/>
          <w:sz w:val="28"/>
          <w:szCs w:val="28"/>
        </w:rPr>
        <w:t>「走讀臺北」</w:t>
      </w:r>
      <w:r w:rsidR="00847B30">
        <w:rPr>
          <w:rFonts w:ascii="標楷體" w:eastAsia="標楷體" w:hAnsi="標楷體" w:hint="eastAsia"/>
          <w:b/>
          <w:sz w:val="28"/>
          <w:szCs w:val="28"/>
        </w:rPr>
        <w:t>教師增能</w:t>
      </w:r>
      <w:r w:rsidR="00A5791C">
        <w:rPr>
          <w:rFonts w:ascii="標楷體" w:eastAsia="標楷體" w:hAnsi="標楷體" w:hint="eastAsia"/>
          <w:b/>
          <w:sz w:val="28"/>
          <w:szCs w:val="28"/>
        </w:rPr>
        <w:t>研習</w:t>
      </w:r>
      <w:r w:rsidRPr="00B640D1">
        <w:rPr>
          <w:rFonts w:ascii="標楷體" w:eastAsia="標楷體" w:hAnsi="標楷體" w:hint="eastAsia"/>
          <w:b/>
          <w:sz w:val="28"/>
          <w:szCs w:val="28"/>
        </w:rPr>
        <w:t>計畫</w:t>
      </w:r>
      <w:r w:rsidR="00262EA8">
        <w:rPr>
          <w:rFonts w:ascii="標楷體" w:eastAsia="標楷體" w:hAnsi="標楷體" w:hint="eastAsia"/>
          <w:b/>
          <w:sz w:val="28"/>
          <w:szCs w:val="28"/>
        </w:rPr>
        <w:t>修正版</w:t>
      </w:r>
      <w:bookmarkStart w:id="0" w:name="_GoBack"/>
      <w:bookmarkEnd w:id="0"/>
    </w:p>
    <w:p w:rsidR="00B54178" w:rsidRPr="005511AB" w:rsidRDefault="00B54178" w:rsidP="00B54178">
      <w:pPr>
        <w:tabs>
          <w:tab w:val="left" w:pos="709"/>
        </w:tabs>
        <w:rPr>
          <w:rFonts w:ascii="標楷體" w:eastAsia="標楷體" w:hAnsi="標楷體"/>
          <w:b/>
          <w:noProof/>
          <w:color w:val="000000"/>
          <w:szCs w:val="24"/>
        </w:rPr>
      </w:pPr>
      <w:r w:rsidRPr="005511AB">
        <w:rPr>
          <w:rFonts w:ascii="標楷體" w:eastAsia="標楷體" w:hAnsi="標楷體" w:hint="eastAsia"/>
          <w:b/>
          <w:noProof/>
          <w:color w:val="000000"/>
          <w:szCs w:val="24"/>
        </w:rPr>
        <w:t>壹、依據</w:t>
      </w:r>
    </w:p>
    <w:p w:rsidR="00B54178" w:rsidRPr="005511AB" w:rsidRDefault="00B54178" w:rsidP="00B54178">
      <w:pPr>
        <w:ind w:leftChars="118" w:left="708" w:hangingChars="177" w:hanging="425"/>
        <w:rPr>
          <w:rFonts w:ascii="標楷體" w:eastAsia="標楷體" w:hAnsi="標楷體"/>
          <w:color w:val="000000"/>
          <w:szCs w:val="24"/>
        </w:rPr>
      </w:pPr>
      <w:r w:rsidRPr="005511AB">
        <w:rPr>
          <w:rFonts w:ascii="標楷體" w:eastAsia="標楷體" w:hAnsi="標楷體" w:hint="eastAsia"/>
          <w:color w:val="000000"/>
          <w:szCs w:val="24"/>
        </w:rPr>
        <w:t>一、教育部國民及學前教育署補助辦理十二年國民基本教育精進國中小教學品質要點</w:t>
      </w:r>
    </w:p>
    <w:p w:rsidR="00B54178" w:rsidRPr="005511AB" w:rsidRDefault="00B54178" w:rsidP="00B54178">
      <w:pPr>
        <w:ind w:leftChars="118" w:left="283"/>
        <w:rPr>
          <w:rFonts w:ascii="標楷體" w:eastAsia="標楷體" w:hAnsi="標楷體"/>
          <w:color w:val="000000"/>
          <w:szCs w:val="24"/>
        </w:rPr>
      </w:pPr>
      <w:r w:rsidRPr="005511AB">
        <w:rPr>
          <w:rFonts w:ascii="標楷體" w:eastAsia="標楷體" w:hAnsi="標楷體" w:hint="eastAsia"/>
          <w:color w:val="000000"/>
          <w:szCs w:val="24"/>
        </w:rPr>
        <w:t>二、臺北市</w:t>
      </w:r>
      <w:r w:rsidRPr="005511AB">
        <w:rPr>
          <w:rFonts w:ascii="標楷體" w:eastAsia="標楷體" w:hAnsi="標楷體" w:hint="eastAsia"/>
          <w:szCs w:val="24"/>
        </w:rPr>
        <w:t>國民教育輔導團社會領域輔導小組10</w:t>
      </w:r>
      <w:r w:rsidR="004A004B">
        <w:rPr>
          <w:rFonts w:ascii="標楷體" w:eastAsia="標楷體" w:hAnsi="標楷體" w:hint="eastAsia"/>
          <w:szCs w:val="24"/>
        </w:rPr>
        <w:t>8</w:t>
      </w:r>
      <w:r w:rsidR="00A5791C">
        <w:rPr>
          <w:rFonts w:ascii="標楷體" w:eastAsia="標楷體" w:hAnsi="標楷體" w:hint="eastAsia"/>
          <w:szCs w:val="24"/>
        </w:rPr>
        <w:t>學</w:t>
      </w:r>
      <w:r w:rsidRPr="005511AB">
        <w:rPr>
          <w:rFonts w:ascii="標楷體" w:eastAsia="標楷體" w:hAnsi="標楷體" w:hint="eastAsia"/>
          <w:szCs w:val="24"/>
        </w:rPr>
        <w:t>年度團</w:t>
      </w:r>
      <w:proofErr w:type="gramStart"/>
      <w:r w:rsidRPr="005511AB">
        <w:rPr>
          <w:rFonts w:ascii="標楷體" w:eastAsia="標楷體" w:hAnsi="標楷體" w:hint="eastAsia"/>
          <w:szCs w:val="24"/>
        </w:rPr>
        <w:t>務</w:t>
      </w:r>
      <w:proofErr w:type="gramEnd"/>
      <w:r w:rsidRPr="005511AB">
        <w:rPr>
          <w:rFonts w:ascii="標楷體" w:eastAsia="標楷體" w:hAnsi="標楷體" w:hint="eastAsia"/>
          <w:szCs w:val="24"/>
        </w:rPr>
        <w:t>計畫</w:t>
      </w:r>
    </w:p>
    <w:p w:rsidR="00B54178" w:rsidRPr="005511AB" w:rsidRDefault="00B54178" w:rsidP="00D24F72">
      <w:pPr>
        <w:tabs>
          <w:tab w:val="left" w:pos="709"/>
        </w:tabs>
        <w:spacing w:beforeLines="50" w:before="180"/>
        <w:rPr>
          <w:rFonts w:ascii="標楷體" w:eastAsia="標楷體" w:hAnsi="標楷體"/>
          <w:b/>
          <w:noProof/>
          <w:color w:val="000000"/>
          <w:szCs w:val="24"/>
        </w:rPr>
      </w:pPr>
      <w:r w:rsidRPr="005511AB">
        <w:rPr>
          <w:rFonts w:ascii="標楷體" w:eastAsia="標楷體" w:hAnsi="標楷體" w:hint="eastAsia"/>
          <w:b/>
          <w:noProof/>
          <w:color w:val="000000"/>
          <w:szCs w:val="24"/>
        </w:rPr>
        <w:t>貳</w:t>
      </w:r>
      <w:r w:rsidRPr="005511AB">
        <w:rPr>
          <w:rFonts w:ascii="標楷體" w:eastAsia="標楷體" w:hAnsi="標楷體"/>
          <w:b/>
          <w:noProof/>
          <w:color w:val="000000"/>
          <w:szCs w:val="24"/>
        </w:rPr>
        <w:t>、目標</w:t>
      </w:r>
    </w:p>
    <w:p w:rsidR="00C943F7" w:rsidRDefault="00B54178" w:rsidP="00B54178">
      <w:pPr>
        <w:ind w:leftChars="118" w:left="283"/>
        <w:rPr>
          <w:rFonts w:ascii="標楷體" w:eastAsia="標楷體" w:hAnsi="標楷體"/>
          <w:color w:val="000000"/>
          <w:szCs w:val="24"/>
        </w:rPr>
      </w:pPr>
      <w:r w:rsidRPr="005511AB">
        <w:rPr>
          <w:rFonts w:ascii="標楷體" w:eastAsia="標楷體" w:hAnsi="標楷體" w:hint="eastAsia"/>
          <w:color w:val="000000"/>
          <w:szCs w:val="24"/>
        </w:rPr>
        <w:t>一、</w:t>
      </w:r>
      <w:r w:rsidR="00C943F7">
        <w:rPr>
          <w:rFonts w:ascii="標楷體" w:eastAsia="標楷體" w:hAnsi="標楷體" w:hint="eastAsia"/>
          <w:color w:val="000000"/>
          <w:szCs w:val="24"/>
        </w:rPr>
        <w:t>幫助教師認識本市歷史遺跡，並能帶領學生進行探究活動。</w:t>
      </w:r>
    </w:p>
    <w:p w:rsidR="00B54178" w:rsidRPr="005511AB" w:rsidRDefault="00C943F7" w:rsidP="00B54178">
      <w:pPr>
        <w:ind w:leftChars="118" w:left="283"/>
        <w:rPr>
          <w:rFonts w:ascii="標楷體" w:eastAsia="標楷體" w:hAnsi="標楷體"/>
          <w:color w:val="000000"/>
          <w:szCs w:val="24"/>
        </w:rPr>
      </w:pPr>
      <w:r>
        <w:rPr>
          <w:rFonts w:ascii="標楷體" w:eastAsia="標楷體" w:hAnsi="標楷體" w:hint="eastAsia"/>
          <w:color w:val="000000"/>
          <w:szCs w:val="24"/>
        </w:rPr>
        <w:t>二、</w:t>
      </w:r>
      <w:r w:rsidR="00B54178" w:rsidRPr="005511AB">
        <w:rPr>
          <w:rFonts w:ascii="標楷體" w:eastAsia="標楷體" w:hAnsi="標楷體" w:hint="eastAsia"/>
          <w:color w:val="000000"/>
          <w:szCs w:val="24"/>
        </w:rPr>
        <w:t>提昇教師社會領域課程發展與教材教法知能。</w:t>
      </w:r>
    </w:p>
    <w:p w:rsidR="00B54178" w:rsidRPr="005511AB" w:rsidRDefault="00C943F7" w:rsidP="00B54178">
      <w:pPr>
        <w:ind w:leftChars="118" w:left="283"/>
        <w:rPr>
          <w:rFonts w:ascii="標楷體" w:eastAsia="標楷體" w:hAnsi="標楷體"/>
          <w:color w:val="000000"/>
          <w:szCs w:val="24"/>
        </w:rPr>
      </w:pPr>
      <w:r>
        <w:rPr>
          <w:rFonts w:ascii="標楷體" w:eastAsia="標楷體" w:hAnsi="標楷體" w:hint="eastAsia"/>
          <w:color w:val="000000"/>
          <w:szCs w:val="24"/>
        </w:rPr>
        <w:t>三</w:t>
      </w:r>
      <w:r w:rsidR="00B54178" w:rsidRPr="005511AB">
        <w:rPr>
          <w:rFonts w:ascii="標楷體" w:eastAsia="標楷體" w:hAnsi="標楷體" w:hint="eastAsia"/>
          <w:color w:val="000000"/>
          <w:szCs w:val="24"/>
        </w:rPr>
        <w:t>、</w:t>
      </w:r>
      <w:r w:rsidR="00B640D1">
        <w:rPr>
          <w:rFonts w:ascii="標楷體" w:eastAsia="標楷體" w:hAnsi="標楷體" w:hint="eastAsia"/>
          <w:color w:val="000000"/>
          <w:szCs w:val="24"/>
        </w:rPr>
        <w:t>協助</w:t>
      </w:r>
      <w:r w:rsidR="00B54178" w:rsidRPr="005511AB">
        <w:rPr>
          <w:rFonts w:ascii="標楷體" w:eastAsia="標楷體" w:hAnsi="標楷體" w:hint="eastAsia"/>
          <w:color w:val="000000"/>
          <w:szCs w:val="24"/>
        </w:rPr>
        <w:t>教師</w:t>
      </w:r>
      <w:r w:rsidR="00A5791C">
        <w:rPr>
          <w:rFonts w:ascii="標楷體" w:eastAsia="標楷體" w:hAnsi="標楷體" w:hint="eastAsia"/>
          <w:color w:val="000000"/>
          <w:szCs w:val="24"/>
        </w:rPr>
        <w:t>配合</w:t>
      </w:r>
      <w:r w:rsidR="00B54178" w:rsidRPr="005511AB">
        <w:rPr>
          <w:rFonts w:ascii="標楷體" w:eastAsia="標楷體" w:hAnsi="標楷體" w:hint="eastAsia"/>
          <w:color w:val="000000"/>
          <w:szCs w:val="24"/>
        </w:rPr>
        <w:t>108</w:t>
      </w:r>
      <w:proofErr w:type="gramStart"/>
      <w:r w:rsidR="00B54178" w:rsidRPr="005511AB">
        <w:rPr>
          <w:rFonts w:ascii="標楷體" w:eastAsia="標楷體" w:hAnsi="標楷體" w:hint="eastAsia"/>
          <w:color w:val="000000"/>
          <w:szCs w:val="24"/>
        </w:rPr>
        <w:t>課綱社會</w:t>
      </w:r>
      <w:proofErr w:type="gramEnd"/>
      <w:r w:rsidR="00B54178" w:rsidRPr="005511AB">
        <w:rPr>
          <w:rFonts w:ascii="標楷體" w:eastAsia="標楷體" w:hAnsi="標楷體" w:hint="eastAsia"/>
          <w:color w:val="000000"/>
          <w:szCs w:val="24"/>
        </w:rPr>
        <w:t>領域內涵，進而能儲備實施與轉化之能力。</w:t>
      </w:r>
    </w:p>
    <w:p w:rsidR="00B54178" w:rsidRPr="005511AB" w:rsidRDefault="00B54178" w:rsidP="00D24F72">
      <w:pPr>
        <w:tabs>
          <w:tab w:val="left" w:pos="709"/>
        </w:tabs>
        <w:spacing w:beforeLines="50" w:before="180"/>
        <w:rPr>
          <w:rFonts w:ascii="標楷體" w:eastAsia="標楷體" w:hAnsi="標楷體"/>
          <w:b/>
          <w:noProof/>
          <w:color w:val="000000"/>
          <w:szCs w:val="24"/>
        </w:rPr>
      </w:pPr>
      <w:r w:rsidRPr="005511AB">
        <w:rPr>
          <w:rFonts w:ascii="標楷體" w:eastAsia="標楷體" w:hAnsi="標楷體" w:hint="eastAsia"/>
          <w:b/>
          <w:noProof/>
          <w:color w:val="000000"/>
          <w:szCs w:val="24"/>
        </w:rPr>
        <w:t>參</w:t>
      </w:r>
      <w:r w:rsidRPr="005511AB">
        <w:rPr>
          <w:rFonts w:ascii="標楷體" w:eastAsia="標楷體" w:hAnsi="標楷體"/>
          <w:b/>
          <w:noProof/>
          <w:color w:val="000000"/>
          <w:szCs w:val="24"/>
        </w:rPr>
        <w:t>、</w:t>
      </w:r>
      <w:r w:rsidRPr="005511AB">
        <w:rPr>
          <w:rFonts w:ascii="標楷體" w:eastAsia="標楷體" w:hAnsi="標楷體" w:hint="eastAsia"/>
          <w:b/>
          <w:noProof/>
          <w:color w:val="000000"/>
          <w:szCs w:val="24"/>
        </w:rPr>
        <w:t xml:space="preserve">辦理單位       </w:t>
      </w:r>
    </w:p>
    <w:p w:rsidR="00B54178" w:rsidRPr="005511AB" w:rsidRDefault="00B54178" w:rsidP="00B54178">
      <w:pPr>
        <w:ind w:leftChars="118" w:left="283"/>
        <w:rPr>
          <w:rFonts w:ascii="標楷體" w:eastAsia="標楷體" w:hAnsi="標楷體"/>
          <w:szCs w:val="24"/>
        </w:rPr>
      </w:pPr>
      <w:r w:rsidRPr="005511AB">
        <w:rPr>
          <w:rFonts w:ascii="標楷體" w:eastAsia="標楷體" w:hAnsi="標楷體" w:hint="eastAsia"/>
          <w:color w:val="000000"/>
          <w:szCs w:val="24"/>
        </w:rPr>
        <w:t>一、主辦單位：</w:t>
      </w:r>
      <w:r w:rsidR="00C943F7">
        <w:rPr>
          <w:rFonts w:ascii="標楷體" w:eastAsia="標楷體" w:hAnsi="標楷體" w:hint="eastAsia"/>
          <w:szCs w:val="24"/>
        </w:rPr>
        <w:t>臺北市教師研習中心</w:t>
      </w:r>
    </w:p>
    <w:p w:rsidR="00C943F7" w:rsidRDefault="00B54178" w:rsidP="00A5791C">
      <w:pPr>
        <w:ind w:leftChars="118" w:left="1843" w:hangingChars="650" w:hanging="1560"/>
        <w:rPr>
          <w:rFonts w:ascii="標楷體" w:eastAsia="標楷體" w:hAnsi="標楷體"/>
          <w:szCs w:val="24"/>
        </w:rPr>
      </w:pPr>
      <w:r w:rsidRPr="005511AB">
        <w:rPr>
          <w:rFonts w:ascii="標楷體" w:eastAsia="標楷體" w:hAnsi="標楷體" w:hint="eastAsia"/>
          <w:color w:val="000000"/>
          <w:szCs w:val="24"/>
        </w:rPr>
        <w:t>二、承辦單位：</w:t>
      </w:r>
      <w:r w:rsidR="00C943F7" w:rsidRPr="005511AB">
        <w:rPr>
          <w:rFonts w:ascii="標楷體" w:eastAsia="標楷體" w:hAnsi="標楷體" w:hint="eastAsia"/>
          <w:color w:val="000000"/>
          <w:szCs w:val="24"/>
        </w:rPr>
        <w:t>臺北市</w:t>
      </w:r>
      <w:r w:rsidR="00C943F7" w:rsidRPr="005511AB">
        <w:rPr>
          <w:rFonts w:ascii="標楷體" w:eastAsia="標楷體" w:hAnsi="標楷體" w:hint="eastAsia"/>
          <w:szCs w:val="24"/>
        </w:rPr>
        <w:t>國民教育輔導團社會領域輔導小組</w:t>
      </w:r>
    </w:p>
    <w:p w:rsidR="00B54178" w:rsidRPr="005511AB" w:rsidRDefault="00A5791C" w:rsidP="00C943F7">
      <w:pPr>
        <w:ind w:leftChars="768" w:left="1843" w:firstLineChars="59" w:firstLine="142"/>
        <w:rPr>
          <w:rFonts w:ascii="標楷體" w:eastAsia="標楷體" w:hAnsi="標楷體"/>
          <w:color w:val="000000"/>
          <w:szCs w:val="24"/>
        </w:rPr>
      </w:pPr>
      <w:r w:rsidRPr="005511AB">
        <w:rPr>
          <w:rFonts w:ascii="標楷體" w:eastAsia="標楷體" w:hAnsi="標楷體" w:hint="eastAsia"/>
          <w:color w:val="000000"/>
          <w:szCs w:val="24"/>
        </w:rPr>
        <w:t>臺北市文山區萬興國</w:t>
      </w:r>
      <w:r w:rsidR="00EB01C3">
        <w:rPr>
          <w:rFonts w:ascii="標楷體" w:eastAsia="標楷體" w:hAnsi="標楷體" w:hint="eastAsia"/>
          <w:color w:val="000000"/>
          <w:szCs w:val="24"/>
        </w:rPr>
        <w:t>民</w:t>
      </w:r>
      <w:r w:rsidRPr="005511AB">
        <w:rPr>
          <w:rFonts w:ascii="標楷體" w:eastAsia="標楷體" w:hAnsi="標楷體" w:hint="eastAsia"/>
          <w:color w:val="000000"/>
          <w:szCs w:val="24"/>
        </w:rPr>
        <w:t>小</w:t>
      </w:r>
      <w:r w:rsidR="00EB01C3">
        <w:rPr>
          <w:rFonts w:ascii="標楷體" w:eastAsia="標楷體" w:hAnsi="標楷體" w:hint="eastAsia"/>
          <w:color w:val="000000"/>
          <w:szCs w:val="24"/>
        </w:rPr>
        <w:t>學</w:t>
      </w:r>
      <w:r w:rsidRPr="005511AB">
        <w:rPr>
          <w:rFonts w:ascii="標楷體" w:eastAsia="標楷體" w:hAnsi="標楷體"/>
          <w:color w:val="000000"/>
          <w:szCs w:val="24"/>
        </w:rPr>
        <w:t xml:space="preserve"> </w:t>
      </w:r>
    </w:p>
    <w:p w:rsidR="00B54178" w:rsidRDefault="00B54178" w:rsidP="00D24F72">
      <w:pPr>
        <w:tabs>
          <w:tab w:val="left" w:pos="709"/>
        </w:tabs>
        <w:spacing w:beforeLines="50" w:before="180"/>
        <w:rPr>
          <w:rFonts w:ascii="標楷體" w:eastAsia="標楷體" w:hAnsi="標楷體"/>
          <w:b/>
          <w:noProof/>
          <w:color w:val="000000"/>
          <w:szCs w:val="24"/>
        </w:rPr>
      </w:pPr>
      <w:r w:rsidRPr="005511AB">
        <w:rPr>
          <w:rFonts w:ascii="標楷體" w:eastAsia="標楷體" w:hAnsi="標楷體" w:hint="eastAsia"/>
          <w:b/>
          <w:noProof/>
          <w:color w:val="000000"/>
          <w:szCs w:val="24"/>
        </w:rPr>
        <w:t>肆</w:t>
      </w:r>
      <w:r w:rsidRPr="005511AB">
        <w:rPr>
          <w:rFonts w:ascii="標楷體" w:eastAsia="標楷體" w:hAnsi="標楷體"/>
          <w:b/>
          <w:noProof/>
          <w:color w:val="000000"/>
          <w:szCs w:val="24"/>
        </w:rPr>
        <w:t>、</w:t>
      </w:r>
      <w:r w:rsidRPr="005511AB">
        <w:rPr>
          <w:rFonts w:ascii="標楷體" w:eastAsia="標楷體" w:hAnsi="標楷體" w:hint="eastAsia"/>
          <w:b/>
          <w:noProof/>
          <w:color w:val="000000"/>
          <w:szCs w:val="24"/>
        </w:rPr>
        <w:t>實施內容</w:t>
      </w:r>
    </w:p>
    <w:tbl>
      <w:tblPr>
        <w:tblStyle w:val="a4"/>
        <w:tblW w:w="9776" w:type="dxa"/>
        <w:tblLook w:val="04A0" w:firstRow="1" w:lastRow="0" w:firstColumn="1" w:lastColumn="0" w:noHBand="0" w:noVBand="1"/>
      </w:tblPr>
      <w:tblGrid>
        <w:gridCol w:w="1555"/>
        <w:gridCol w:w="5103"/>
        <w:gridCol w:w="1559"/>
        <w:gridCol w:w="1559"/>
      </w:tblGrid>
      <w:tr w:rsidR="002E50B1" w:rsidRPr="00F45C93" w:rsidTr="00927103">
        <w:tc>
          <w:tcPr>
            <w:tcW w:w="1555" w:type="dxa"/>
            <w:shd w:val="clear" w:color="auto" w:fill="F2F2F2" w:themeFill="background1" w:themeFillShade="F2"/>
            <w:vAlign w:val="center"/>
          </w:tcPr>
          <w:p w:rsidR="00C943F7" w:rsidRPr="00F45C93" w:rsidRDefault="00C943F7"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時間</w:t>
            </w:r>
          </w:p>
        </w:tc>
        <w:tc>
          <w:tcPr>
            <w:tcW w:w="5103" w:type="dxa"/>
            <w:shd w:val="clear" w:color="auto" w:fill="F2F2F2" w:themeFill="background1" w:themeFillShade="F2"/>
            <w:vAlign w:val="center"/>
          </w:tcPr>
          <w:p w:rsidR="00C943F7" w:rsidRPr="00F45C93" w:rsidRDefault="006B18E9" w:rsidP="00F45C93">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走讀</w:t>
            </w:r>
            <w:r w:rsidR="00C943F7" w:rsidRPr="00F45C93">
              <w:rPr>
                <w:rFonts w:ascii="標楷體" w:eastAsia="標楷體" w:hAnsi="標楷體" w:hint="eastAsia"/>
                <w:noProof/>
                <w:color w:val="000000"/>
                <w:szCs w:val="24"/>
              </w:rPr>
              <w:t>主題</w:t>
            </w:r>
            <w:r w:rsidR="00F45C93">
              <w:rPr>
                <w:rFonts w:ascii="標楷體" w:eastAsia="標楷體" w:hAnsi="標楷體" w:hint="eastAsia"/>
                <w:noProof/>
                <w:color w:val="000000"/>
                <w:szCs w:val="24"/>
              </w:rPr>
              <w:t>與地點</w:t>
            </w:r>
          </w:p>
        </w:tc>
        <w:tc>
          <w:tcPr>
            <w:tcW w:w="1559" w:type="dxa"/>
            <w:shd w:val="clear" w:color="auto" w:fill="F2F2F2" w:themeFill="background1" w:themeFillShade="F2"/>
            <w:vAlign w:val="center"/>
          </w:tcPr>
          <w:p w:rsidR="00C943F7" w:rsidRPr="00F45C93" w:rsidRDefault="00F45C93" w:rsidP="00F45C93">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集合</w:t>
            </w:r>
            <w:r w:rsidR="008B2382" w:rsidRPr="00F45C93">
              <w:rPr>
                <w:rFonts w:ascii="標楷體" w:eastAsia="標楷體" w:hAnsi="標楷體" w:hint="eastAsia"/>
                <w:noProof/>
                <w:color w:val="000000"/>
                <w:szCs w:val="24"/>
              </w:rPr>
              <w:t>地點</w:t>
            </w:r>
          </w:p>
        </w:tc>
        <w:tc>
          <w:tcPr>
            <w:tcW w:w="1559" w:type="dxa"/>
            <w:shd w:val="clear" w:color="auto" w:fill="F2F2F2" w:themeFill="background1" w:themeFillShade="F2"/>
          </w:tcPr>
          <w:p w:rsidR="00F45C93" w:rsidRPr="00F45C93" w:rsidRDefault="00F45C93"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主講</w:t>
            </w:r>
            <w:r w:rsidR="00927103">
              <w:rPr>
                <w:rFonts w:ascii="標楷體" w:eastAsia="標楷體" w:hAnsi="標楷體" w:hint="eastAsia"/>
                <w:noProof/>
                <w:color w:val="000000"/>
                <w:szCs w:val="24"/>
              </w:rPr>
              <w:t>者</w:t>
            </w:r>
          </w:p>
        </w:tc>
      </w:tr>
      <w:tr w:rsidR="00DA1D16" w:rsidRPr="00F45C93" w:rsidTr="00927103">
        <w:trPr>
          <w:trHeight w:val="1683"/>
        </w:trPr>
        <w:tc>
          <w:tcPr>
            <w:tcW w:w="1555"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Pr="00F45C93">
              <w:rPr>
                <w:rFonts w:ascii="標楷體" w:eastAsia="標楷體" w:hAnsi="標楷體"/>
                <w:noProof/>
                <w:color w:val="000000"/>
                <w:szCs w:val="24"/>
              </w:rPr>
              <w:t>0</w:t>
            </w:r>
            <w:r w:rsidR="00D1037A">
              <w:rPr>
                <w:rFonts w:ascii="標楷體" w:eastAsia="標楷體" w:hAnsi="標楷體" w:hint="eastAsia"/>
                <w:noProof/>
                <w:color w:val="000000"/>
                <w:szCs w:val="24"/>
              </w:rPr>
              <w:t>3</w:t>
            </w:r>
            <w:r w:rsidRPr="00F45C93">
              <w:rPr>
                <w:rFonts w:ascii="標楷體" w:eastAsia="標楷體" w:hAnsi="標楷體" w:hint="eastAsia"/>
                <w:noProof/>
                <w:color w:val="000000"/>
                <w:szCs w:val="24"/>
              </w:rPr>
              <w:t>/</w:t>
            </w:r>
            <w:r w:rsidR="00D1037A">
              <w:rPr>
                <w:rFonts w:ascii="標楷體" w:eastAsia="標楷體" w:hAnsi="標楷體" w:hint="eastAsia"/>
                <w:noProof/>
                <w:color w:val="000000"/>
                <w:szCs w:val="24"/>
              </w:rPr>
              <w:t>12</w:t>
            </w:r>
            <w:r w:rsidRPr="00F45C93">
              <w:rPr>
                <w:rFonts w:ascii="標楷體" w:eastAsia="標楷體" w:hAnsi="標楷體" w:hint="eastAsia"/>
                <w:noProof/>
                <w:color w:val="000000"/>
                <w:szCs w:val="24"/>
              </w:rPr>
              <w:t>(四)</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DA1D16" w:rsidRPr="00F45C93" w:rsidRDefault="00DA1D16" w:rsidP="00DA1D16">
            <w:pPr>
              <w:tabs>
                <w:tab w:val="left" w:pos="709"/>
              </w:tabs>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臺北城</w:t>
            </w:r>
            <w:r>
              <w:rPr>
                <w:rFonts w:ascii="標楷體" w:eastAsia="標楷體" w:hAnsi="標楷體" w:hint="eastAsia"/>
                <w:b/>
                <w:noProof/>
                <w:color w:val="000000"/>
                <w:szCs w:val="24"/>
              </w:rPr>
              <w:t>(</w:t>
            </w:r>
            <w:r w:rsidRPr="00F45C93">
              <w:rPr>
                <w:rFonts w:ascii="標楷體" w:eastAsia="標楷體" w:hAnsi="標楷體" w:hint="eastAsia"/>
                <w:b/>
                <w:noProof/>
                <w:color w:val="000000"/>
                <w:szCs w:val="24"/>
              </w:rPr>
              <w:t>東線</w:t>
            </w:r>
            <w:r>
              <w:rPr>
                <w:rFonts w:ascii="標楷體" w:eastAsia="標楷體" w:hAnsi="標楷體" w:hint="eastAsia"/>
                <w:b/>
                <w:noProof/>
                <w:color w:val="000000"/>
                <w:szCs w:val="24"/>
              </w:rPr>
              <w:t>)</w:t>
            </w:r>
            <w:r w:rsidRPr="00F45C93">
              <w:rPr>
                <w:rFonts w:ascii="標楷體" w:eastAsia="標楷體" w:hAnsi="標楷體" w:hint="eastAsia"/>
                <w:b/>
                <w:noProof/>
                <w:color w:val="000000"/>
                <w:szCs w:val="24"/>
              </w:rPr>
              <w:t xml:space="preserve"> </w:t>
            </w:r>
          </w:p>
          <w:p w:rsidR="00DA1D16" w:rsidRPr="00F45C93" w:rsidRDefault="00DA1D16" w:rsidP="00DA1D16">
            <w:pPr>
              <w:tabs>
                <w:tab w:val="left" w:pos="709"/>
              </w:tabs>
              <w:rPr>
                <w:rFonts w:ascii="標楷體" w:eastAsia="標楷體" w:hAnsi="標楷體"/>
                <w:noProof/>
                <w:color w:val="000000"/>
                <w:szCs w:val="24"/>
              </w:rPr>
            </w:pPr>
            <w:r w:rsidRPr="00F45C93">
              <w:rPr>
                <w:rFonts w:ascii="標楷體" w:eastAsia="標楷體" w:hAnsi="標楷體" w:hint="eastAsia"/>
                <w:noProof/>
                <w:color w:val="000000"/>
                <w:szCs w:val="24"/>
              </w:rPr>
              <w:t>二二八紀念館、臺灣博物館、天后宮舊址、黃氏節孝坊、急公好義坊、東門、臺北賓館、臺大醫院舊館、臺大醫學院舊館、曹洞宗大本山別院鐘樓</w:t>
            </w:r>
          </w:p>
        </w:tc>
        <w:tc>
          <w:tcPr>
            <w:tcW w:w="1559" w:type="dxa"/>
            <w:vAlign w:val="center"/>
          </w:tcPr>
          <w:p w:rsidR="00DA1D16" w:rsidRPr="00F45C93" w:rsidRDefault="00DA1D16" w:rsidP="00DA1D16">
            <w:pPr>
              <w:tabs>
                <w:tab w:val="left" w:pos="709"/>
              </w:tabs>
              <w:spacing w:beforeLines="50" w:before="180"/>
              <w:jc w:val="center"/>
              <w:rPr>
                <w:rFonts w:ascii="標楷體" w:eastAsia="標楷體" w:hAnsi="標楷體"/>
                <w:noProof/>
                <w:color w:val="000000"/>
                <w:szCs w:val="24"/>
              </w:rPr>
            </w:pPr>
            <w:r w:rsidRPr="00F45C93">
              <w:rPr>
                <w:rFonts w:ascii="標楷體" w:eastAsia="標楷體" w:hAnsi="標楷體" w:hint="eastAsia"/>
                <w:noProof/>
                <w:color w:val="000000"/>
                <w:szCs w:val="24"/>
              </w:rPr>
              <w:t>臺灣博物館</w:t>
            </w:r>
            <w:r>
              <w:rPr>
                <w:rFonts w:ascii="標楷體" w:eastAsia="標楷體" w:hAnsi="標楷體" w:hint="eastAsia"/>
                <w:noProof/>
                <w:color w:val="000000"/>
                <w:szCs w:val="24"/>
              </w:rPr>
              <w:t>正門口</w:t>
            </w:r>
          </w:p>
        </w:tc>
        <w:tc>
          <w:tcPr>
            <w:tcW w:w="1559"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r w:rsidR="00DA1D16" w:rsidRPr="00F45C93" w:rsidTr="00927103">
        <w:trPr>
          <w:trHeight w:val="1693"/>
        </w:trPr>
        <w:tc>
          <w:tcPr>
            <w:tcW w:w="1555"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Pr="00F45C93">
              <w:rPr>
                <w:rFonts w:ascii="標楷體" w:eastAsia="標楷體" w:hAnsi="標楷體"/>
                <w:noProof/>
                <w:color w:val="000000"/>
                <w:szCs w:val="24"/>
              </w:rPr>
              <w:t>0</w:t>
            </w:r>
            <w:r w:rsidRPr="00F45C93">
              <w:rPr>
                <w:rFonts w:ascii="標楷體" w:eastAsia="標楷體" w:hAnsi="標楷體" w:hint="eastAsia"/>
                <w:noProof/>
                <w:color w:val="000000"/>
                <w:szCs w:val="24"/>
              </w:rPr>
              <w:t>3/19(四)</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DA1D16" w:rsidRPr="00F45C93" w:rsidRDefault="00DA1D16" w:rsidP="00DA1D16">
            <w:pPr>
              <w:tabs>
                <w:tab w:val="left" w:pos="709"/>
              </w:tabs>
              <w:spacing w:line="0" w:lineRule="atLeast"/>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大稻埕產業風華</w:t>
            </w:r>
          </w:p>
          <w:p w:rsidR="00DA1D16" w:rsidRPr="00F45C93" w:rsidRDefault="00DA1D16" w:rsidP="00DA1D16">
            <w:pPr>
              <w:tabs>
                <w:tab w:val="left" w:pos="709"/>
              </w:tabs>
              <w:spacing w:line="0" w:lineRule="atLeast"/>
              <w:rPr>
                <w:rFonts w:ascii="標楷體" w:eastAsia="標楷體" w:hAnsi="標楷體"/>
                <w:noProof/>
                <w:color w:val="000000"/>
                <w:szCs w:val="24"/>
              </w:rPr>
            </w:pPr>
            <w:r w:rsidRPr="00F45C93">
              <w:rPr>
                <w:rFonts w:ascii="標楷體" w:eastAsia="標楷體" w:hAnsi="標楷體" w:hint="eastAsia"/>
                <w:noProof/>
                <w:color w:val="000000"/>
                <w:szCs w:val="24"/>
              </w:rPr>
              <w:t>永樂市場、霞海城隍廟、光泉企業發源地、乾元行、玉鳳旗袍、林復振商行、urs127、林藍田宅、香料批發義和蔥蒜行、廣和堂藥鋪207博物館、李亭香餅舖、葉晉發商號、十連棟</w:t>
            </w:r>
          </w:p>
        </w:tc>
        <w:tc>
          <w:tcPr>
            <w:tcW w:w="1559" w:type="dxa"/>
            <w:vAlign w:val="center"/>
          </w:tcPr>
          <w:p w:rsidR="00DA1D16" w:rsidRPr="00F45C93" w:rsidRDefault="00DA1D16" w:rsidP="00DA1D16">
            <w:pPr>
              <w:tabs>
                <w:tab w:val="left" w:pos="709"/>
              </w:tabs>
              <w:spacing w:beforeLines="50" w:before="180"/>
              <w:jc w:val="center"/>
              <w:rPr>
                <w:rFonts w:ascii="標楷體" w:eastAsia="標楷體" w:hAnsi="標楷體"/>
                <w:noProof/>
                <w:color w:val="000000"/>
                <w:szCs w:val="24"/>
              </w:rPr>
            </w:pPr>
            <w:r w:rsidRPr="00F45C93">
              <w:rPr>
                <w:rFonts w:ascii="標楷體" w:eastAsia="標楷體" w:hAnsi="標楷體" w:hint="eastAsia"/>
                <w:noProof/>
                <w:color w:val="000000"/>
                <w:szCs w:val="24"/>
              </w:rPr>
              <w:t>霞海城隍廟</w:t>
            </w:r>
            <w:r>
              <w:rPr>
                <w:rFonts w:ascii="標楷體" w:eastAsia="標楷體" w:hAnsi="標楷體" w:hint="eastAsia"/>
                <w:noProof/>
                <w:color w:val="000000"/>
                <w:szCs w:val="24"/>
              </w:rPr>
              <w:t>廟口</w:t>
            </w:r>
          </w:p>
        </w:tc>
        <w:tc>
          <w:tcPr>
            <w:tcW w:w="1559"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r w:rsidR="00DA1D16" w:rsidRPr="00F45C93" w:rsidTr="00927103">
        <w:trPr>
          <w:trHeight w:val="1693"/>
        </w:trPr>
        <w:tc>
          <w:tcPr>
            <w:tcW w:w="1555"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005162BB">
              <w:rPr>
                <w:rFonts w:ascii="標楷體" w:eastAsia="標楷體" w:hAnsi="標楷體" w:hint="eastAsia"/>
                <w:noProof/>
                <w:color w:val="000000"/>
                <w:szCs w:val="24"/>
              </w:rPr>
              <w:t>04/09</w:t>
            </w:r>
            <w:r w:rsidRPr="00F45C93">
              <w:rPr>
                <w:rFonts w:ascii="標楷體" w:eastAsia="標楷體" w:hAnsi="標楷體" w:hint="eastAsia"/>
                <w:noProof/>
                <w:color w:val="000000"/>
                <w:szCs w:val="24"/>
              </w:rPr>
              <w:t>(四)</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DA1D16" w:rsidRPr="00F45C93" w:rsidRDefault="00DA1D16" w:rsidP="00DA1D16">
            <w:pPr>
              <w:tabs>
                <w:tab w:val="left" w:pos="709"/>
              </w:tabs>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新文化運動</w:t>
            </w:r>
          </w:p>
          <w:p w:rsidR="00DA1D16" w:rsidRPr="00F45C93" w:rsidRDefault="00DA1D16" w:rsidP="00DA1D16">
            <w:pPr>
              <w:tabs>
                <w:tab w:val="left" w:pos="709"/>
              </w:tabs>
              <w:rPr>
                <w:rFonts w:ascii="標楷體" w:eastAsia="標楷體" w:hAnsi="標楷體"/>
                <w:noProof/>
                <w:color w:val="000000"/>
                <w:szCs w:val="24"/>
              </w:rPr>
            </w:pPr>
            <w:r w:rsidRPr="00F45C93">
              <w:rPr>
                <w:rFonts w:ascii="標楷體" w:eastAsia="標楷體" w:hAnsi="標楷體" w:hint="eastAsia"/>
                <w:noProof/>
                <w:color w:val="000000"/>
                <w:szCs w:val="24"/>
              </w:rPr>
              <w:t>蔣渭水紀念公園、新文化紀念館(臺北北警察署)、靜修女中、圓環、陳德星堂、日新鑄字行、下奎府町郵便局、日新國小紅樓</w:t>
            </w:r>
          </w:p>
        </w:tc>
        <w:tc>
          <w:tcPr>
            <w:tcW w:w="1559" w:type="dxa"/>
            <w:vAlign w:val="center"/>
          </w:tcPr>
          <w:p w:rsidR="00DA1D16"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雙蓮國小</w:t>
            </w:r>
          </w:p>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校門口</w:t>
            </w:r>
          </w:p>
        </w:tc>
        <w:tc>
          <w:tcPr>
            <w:tcW w:w="1559"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bl>
    <w:p w:rsidR="00B54178" w:rsidRPr="005511AB" w:rsidRDefault="00B54178" w:rsidP="00FB28C8">
      <w:pPr>
        <w:tabs>
          <w:tab w:val="left" w:pos="709"/>
        </w:tabs>
        <w:ind w:left="1562" w:hangingChars="650" w:hanging="1562"/>
        <w:rPr>
          <w:rFonts w:ascii="標楷體" w:eastAsia="標楷體" w:hAnsi="標楷體" w:cs="新細明體"/>
          <w:color w:val="000000"/>
          <w:szCs w:val="24"/>
        </w:rPr>
      </w:pPr>
      <w:r w:rsidRPr="005511AB">
        <w:rPr>
          <w:rFonts w:ascii="標楷體" w:eastAsia="標楷體" w:hAnsi="標楷體" w:hint="eastAsia"/>
          <w:b/>
          <w:noProof/>
          <w:color w:val="000000"/>
          <w:szCs w:val="24"/>
        </w:rPr>
        <w:t>伍、研習對象</w:t>
      </w:r>
      <w:r w:rsidR="00685A4D" w:rsidRPr="005511AB">
        <w:rPr>
          <w:rFonts w:ascii="新細明體" w:eastAsia="新細明體" w:hAnsi="新細明體" w:hint="eastAsia"/>
          <w:b/>
          <w:noProof/>
          <w:color w:val="000000"/>
          <w:szCs w:val="24"/>
        </w:rPr>
        <w:t>：</w:t>
      </w:r>
      <w:r w:rsidRPr="005511AB">
        <w:rPr>
          <w:rFonts w:ascii="標楷體" w:eastAsia="標楷體" w:hAnsi="標楷體" w:hint="eastAsia"/>
          <w:color w:val="000000"/>
          <w:szCs w:val="24"/>
        </w:rPr>
        <w:t>臺北市各公私立國民小學教師</w:t>
      </w:r>
      <w:r w:rsidR="00FB28C8">
        <w:rPr>
          <w:rFonts w:ascii="標楷體" w:eastAsia="標楷體" w:hAnsi="標楷體" w:hint="eastAsia"/>
          <w:color w:val="000000"/>
          <w:szCs w:val="24"/>
        </w:rPr>
        <w:t>。</w:t>
      </w:r>
    </w:p>
    <w:p w:rsidR="004740E1" w:rsidRPr="00CB280C" w:rsidRDefault="00685A4D" w:rsidP="00D24F72">
      <w:pPr>
        <w:tabs>
          <w:tab w:val="left" w:pos="709"/>
        </w:tabs>
        <w:spacing w:beforeLines="50" w:before="180"/>
        <w:rPr>
          <w:rFonts w:ascii="標楷體" w:eastAsia="標楷體" w:hAnsi="標楷體"/>
          <w:noProof/>
          <w:color w:val="000000"/>
          <w:szCs w:val="24"/>
        </w:rPr>
      </w:pPr>
      <w:r w:rsidRPr="005511AB">
        <w:rPr>
          <w:rFonts w:ascii="標楷體" w:eastAsia="標楷體" w:hAnsi="標楷體" w:hint="eastAsia"/>
          <w:b/>
          <w:noProof/>
          <w:color w:val="000000"/>
          <w:szCs w:val="24"/>
        </w:rPr>
        <w:t>陸、</w:t>
      </w:r>
      <w:r w:rsidR="004740E1">
        <w:rPr>
          <w:rFonts w:ascii="標楷體" w:eastAsia="標楷體" w:hAnsi="標楷體" w:hint="eastAsia"/>
          <w:b/>
          <w:noProof/>
          <w:color w:val="000000"/>
          <w:szCs w:val="24"/>
        </w:rPr>
        <w:t>研習地點</w:t>
      </w:r>
      <w:r w:rsidR="004740E1">
        <w:rPr>
          <w:rFonts w:ascii="新細明體" w:eastAsia="新細明體" w:hAnsi="新細明體" w:hint="eastAsia"/>
          <w:b/>
          <w:noProof/>
          <w:color w:val="000000"/>
          <w:szCs w:val="24"/>
        </w:rPr>
        <w:t>：</w:t>
      </w:r>
      <w:r w:rsidR="00CB280C" w:rsidRPr="00CB280C">
        <w:rPr>
          <w:rFonts w:ascii="標楷體" w:eastAsia="標楷體" w:hAnsi="標楷體" w:hint="eastAsia"/>
          <w:noProof/>
          <w:color w:val="000000"/>
          <w:szCs w:val="24"/>
        </w:rPr>
        <w:t>詳實施內容，請準時於集合地點報到。</w:t>
      </w:r>
    </w:p>
    <w:p w:rsidR="00E94857" w:rsidRDefault="004740E1" w:rsidP="00EA35AD">
      <w:pPr>
        <w:tabs>
          <w:tab w:val="left" w:pos="709"/>
        </w:tabs>
        <w:ind w:leftChars="1" w:left="1700" w:hangingChars="707" w:hanging="1698"/>
      </w:pPr>
      <w:r>
        <w:rPr>
          <w:rFonts w:ascii="標楷體" w:eastAsia="標楷體" w:hAnsi="標楷體" w:hint="eastAsia"/>
          <w:b/>
          <w:noProof/>
          <w:color w:val="000000"/>
          <w:szCs w:val="24"/>
        </w:rPr>
        <w:t>柒、</w:t>
      </w:r>
      <w:r w:rsidR="00E94857">
        <w:rPr>
          <w:rFonts w:ascii="標楷體" w:eastAsia="標楷體" w:hAnsi="標楷體" w:hint="eastAsia"/>
          <w:b/>
          <w:noProof/>
          <w:color w:val="000000"/>
          <w:szCs w:val="24"/>
        </w:rPr>
        <w:t>報名方式</w:t>
      </w:r>
      <w:r w:rsidR="00E94857">
        <w:rPr>
          <w:rFonts w:ascii="微軟正黑體" w:eastAsia="微軟正黑體" w:hAnsi="微軟正黑體" w:hint="eastAsia"/>
          <w:b/>
          <w:noProof/>
          <w:color w:val="000000"/>
          <w:szCs w:val="24"/>
        </w:rPr>
        <w:t>：</w:t>
      </w:r>
      <w:r w:rsidR="00E94857" w:rsidRPr="00927103">
        <w:rPr>
          <w:rFonts w:ascii="標楷體" w:eastAsia="標楷體" w:hAnsi="標楷體" w:hint="eastAsia"/>
          <w:bCs/>
          <w:color w:val="000000"/>
          <w:szCs w:val="24"/>
        </w:rPr>
        <w:t>請</w:t>
      </w:r>
      <w:r w:rsidR="00410423">
        <w:rPr>
          <w:rFonts w:ascii="標楷體" w:eastAsia="標楷體" w:hAnsi="標楷體" w:hint="eastAsia"/>
          <w:bCs/>
          <w:color w:val="000000"/>
          <w:szCs w:val="24"/>
        </w:rPr>
        <w:t>於各研習日程前</w:t>
      </w:r>
      <w:r w:rsidR="008B3F89">
        <w:rPr>
          <w:rFonts w:ascii="標楷體" w:eastAsia="標楷體" w:hAnsi="標楷體" w:hint="eastAsia"/>
          <w:bCs/>
          <w:color w:val="000000"/>
          <w:szCs w:val="24"/>
        </w:rPr>
        <w:t>3</w:t>
      </w:r>
      <w:r w:rsidR="00410423">
        <w:rPr>
          <w:rFonts w:ascii="標楷體" w:eastAsia="標楷體" w:hAnsi="標楷體" w:hint="eastAsia"/>
          <w:bCs/>
          <w:color w:val="000000"/>
          <w:szCs w:val="24"/>
        </w:rPr>
        <w:t>日</w:t>
      </w:r>
      <w:r w:rsidR="00E94857" w:rsidRPr="00927103">
        <w:rPr>
          <w:rFonts w:ascii="標楷體" w:eastAsia="標楷體" w:hAnsi="標楷體" w:hint="eastAsia"/>
          <w:bCs/>
          <w:color w:val="000000"/>
          <w:szCs w:val="24"/>
        </w:rPr>
        <w:t>至臺北市教師在職進修網上報名</w:t>
      </w:r>
      <w:r w:rsidR="008C308D">
        <w:rPr>
          <w:rFonts w:ascii="標楷體" w:eastAsia="標楷體" w:hAnsi="標楷體" w:hint="eastAsia"/>
          <w:bCs/>
          <w:color w:val="000000"/>
          <w:szCs w:val="24"/>
        </w:rPr>
        <w:t>，每梯次40人為限。</w:t>
      </w:r>
      <w:hyperlink r:id="rId9" w:history="1">
        <w:r w:rsidR="00D1037A" w:rsidRPr="00D1037A">
          <w:rPr>
            <w:rStyle w:val="ab"/>
          </w:rPr>
          <w:t>https://insc.tp.edu.tw/index/DefBod.aspx</w:t>
        </w:r>
      </w:hyperlink>
      <w:r w:rsidR="00D1037A" w:rsidRPr="00D1037A">
        <w:rPr>
          <w:rFonts w:hint="eastAsia"/>
        </w:rPr>
        <w:t>，</w:t>
      </w:r>
      <w:r w:rsidR="00D1037A" w:rsidRPr="00D1037A">
        <w:rPr>
          <w:rFonts w:ascii="標楷體" w:eastAsia="標楷體" w:hAnsi="標楷體" w:hint="eastAsia"/>
        </w:rPr>
        <w:t>或洽萬興國小劉思妤老師</w:t>
      </w:r>
      <w:r w:rsidR="00D1037A" w:rsidRPr="00D1037A">
        <w:rPr>
          <w:rFonts w:hint="eastAsia"/>
        </w:rPr>
        <w:t>02</w:t>
      </w:r>
      <w:r w:rsidR="00D1037A" w:rsidRPr="00D1037A">
        <w:t>-</w:t>
      </w:r>
      <w:r w:rsidR="00D1037A" w:rsidRPr="00D1037A">
        <w:rPr>
          <w:rFonts w:hint="eastAsia"/>
        </w:rPr>
        <w:t>29381721#191</w:t>
      </w:r>
      <w:r w:rsidR="00D1037A" w:rsidRPr="00D1037A">
        <w:rPr>
          <w:rFonts w:hint="eastAsia"/>
        </w:rPr>
        <w:t>。</w:t>
      </w:r>
    </w:p>
    <w:p w:rsidR="00D1037A" w:rsidRPr="00D1037A" w:rsidRDefault="00D1037A" w:rsidP="00D1037A">
      <w:pPr>
        <w:tabs>
          <w:tab w:val="left" w:pos="709"/>
        </w:tabs>
        <w:ind w:leftChars="1" w:left="1840" w:hangingChars="707" w:hanging="1838"/>
        <w:rPr>
          <w:rFonts w:ascii="新細明體" w:hAnsi="新細明體"/>
          <w:bCs/>
          <w:color w:val="000000"/>
          <w:sz w:val="26"/>
          <w:szCs w:val="26"/>
        </w:rPr>
      </w:pPr>
    </w:p>
    <w:p w:rsidR="00685A4D" w:rsidRPr="005511AB" w:rsidRDefault="00E94857" w:rsidP="00E94857">
      <w:pPr>
        <w:tabs>
          <w:tab w:val="left" w:pos="709"/>
        </w:tabs>
        <w:rPr>
          <w:rFonts w:ascii="標楷體" w:eastAsia="標楷體" w:hAnsi="標楷體"/>
          <w:b/>
          <w:noProof/>
          <w:color w:val="000000"/>
          <w:szCs w:val="24"/>
        </w:rPr>
      </w:pPr>
      <w:r>
        <w:rPr>
          <w:rFonts w:ascii="標楷體" w:eastAsia="標楷體" w:hAnsi="標楷體" w:hint="eastAsia"/>
          <w:b/>
          <w:noProof/>
          <w:color w:val="000000"/>
          <w:szCs w:val="24"/>
        </w:rPr>
        <w:lastRenderedPageBreak/>
        <w:t>捌、</w:t>
      </w:r>
      <w:r w:rsidR="00685A4D" w:rsidRPr="005511AB">
        <w:rPr>
          <w:rFonts w:ascii="標楷體" w:eastAsia="標楷體" w:hAnsi="標楷體" w:hint="eastAsia"/>
          <w:b/>
          <w:noProof/>
          <w:color w:val="000000"/>
          <w:szCs w:val="24"/>
        </w:rPr>
        <w:t xml:space="preserve">預期效益    </w:t>
      </w:r>
    </w:p>
    <w:p w:rsidR="00685A4D" w:rsidRPr="005511AB" w:rsidRDefault="00685A4D" w:rsidP="00685A4D">
      <w:pPr>
        <w:widowControl/>
        <w:tabs>
          <w:tab w:val="left" w:pos="709"/>
        </w:tabs>
        <w:ind w:leftChars="117" w:left="706" w:hangingChars="177" w:hanging="425"/>
        <w:rPr>
          <w:rFonts w:ascii="標楷體" w:eastAsia="標楷體" w:hAnsi="標楷體" w:cs="新細明體"/>
          <w:color w:val="000000"/>
          <w:szCs w:val="24"/>
        </w:rPr>
      </w:pPr>
      <w:r w:rsidRPr="005511AB">
        <w:rPr>
          <w:rFonts w:ascii="標楷體" w:eastAsia="標楷體" w:hAnsi="標楷體" w:cs="新細明體" w:hint="eastAsia"/>
          <w:color w:val="000000"/>
          <w:szCs w:val="24"/>
        </w:rPr>
        <w:t>一、</w:t>
      </w:r>
      <w:r w:rsidRPr="005511AB">
        <w:rPr>
          <w:rFonts w:ascii="標楷體" w:eastAsia="標楷體" w:hAnsi="標楷體" w:hint="eastAsia"/>
          <w:color w:val="000000"/>
          <w:szCs w:val="24"/>
        </w:rPr>
        <w:t>透過研習活動，提升教師對於</w:t>
      </w:r>
      <w:r w:rsidR="00CB280C">
        <w:rPr>
          <w:rFonts w:ascii="標楷體" w:eastAsia="標楷體" w:hAnsi="標楷體" w:hint="eastAsia"/>
          <w:color w:val="000000"/>
          <w:szCs w:val="24"/>
        </w:rPr>
        <w:t>本市歷史事件與建築之專業知能</w:t>
      </w:r>
      <w:r w:rsidR="00E533FB">
        <w:rPr>
          <w:rFonts w:ascii="標楷體" w:eastAsia="標楷體" w:hAnsi="標楷體" w:hint="eastAsia"/>
          <w:color w:val="000000"/>
          <w:szCs w:val="24"/>
        </w:rPr>
        <w:t>，並能運用於實際教學，提升學習參與</w:t>
      </w:r>
      <w:r w:rsidR="00C813B6">
        <w:rPr>
          <w:rFonts w:ascii="標楷體" w:eastAsia="標楷體" w:hAnsi="標楷體" w:hint="eastAsia"/>
          <w:color w:val="000000"/>
          <w:szCs w:val="24"/>
        </w:rPr>
        <w:t>性，並</w:t>
      </w:r>
      <w:proofErr w:type="gramStart"/>
      <w:r w:rsidR="00C813B6">
        <w:rPr>
          <w:rFonts w:ascii="標楷體" w:eastAsia="標楷體" w:hAnsi="標楷體" w:hint="eastAsia"/>
          <w:color w:val="000000"/>
          <w:szCs w:val="24"/>
        </w:rPr>
        <w:t>加深加廣學習</w:t>
      </w:r>
      <w:proofErr w:type="gramEnd"/>
      <w:r w:rsidR="00C813B6">
        <w:rPr>
          <w:rFonts w:ascii="標楷體" w:eastAsia="標楷體" w:hAnsi="標楷體" w:hint="eastAsia"/>
          <w:color w:val="000000"/>
          <w:szCs w:val="24"/>
        </w:rPr>
        <w:t>層面</w:t>
      </w:r>
      <w:r w:rsidRPr="005511AB">
        <w:rPr>
          <w:rFonts w:ascii="標楷體" w:eastAsia="標楷體" w:hAnsi="標楷體" w:hint="eastAsia"/>
          <w:color w:val="000000"/>
          <w:szCs w:val="24"/>
        </w:rPr>
        <w:t>。</w:t>
      </w:r>
    </w:p>
    <w:p w:rsidR="00685A4D" w:rsidRPr="005511AB" w:rsidRDefault="00685A4D" w:rsidP="00685A4D">
      <w:pPr>
        <w:widowControl/>
        <w:tabs>
          <w:tab w:val="left" w:pos="709"/>
          <w:tab w:val="left" w:pos="993"/>
        </w:tabs>
        <w:ind w:leftChars="118" w:left="705" w:hangingChars="176" w:hanging="422"/>
        <w:rPr>
          <w:rFonts w:ascii="標楷體" w:eastAsia="標楷體" w:hAnsi="標楷體" w:cs="新細明體"/>
          <w:color w:val="000000"/>
          <w:szCs w:val="24"/>
        </w:rPr>
      </w:pPr>
      <w:r w:rsidRPr="005511AB">
        <w:rPr>
          <w:rFonts w:ascii="標楷體" w:eastAsia="標楷體" w:hAnsi="標楷體" w:cs="新細明體" w:hint="eastAsia"/>
          <w:color w:val="000000"/>
          <w:szCs w:val="24"/>
        </w:rPr>
        <w:t>二、</w:t>
      </w:r>
      <w:r w:rsidR="00C813B6">
        <w:rPr>
          <w:rFonts w:ascii="標楷體" w:eastAsia="標楷體" w:hAnsi="標楷體" w:cs="新細明體" w:hint="eastAsia"/>
          <w:color w:val="000000"/>
          <w:szCs w:val="24"/>
        </w:rPr>
        <w:t>突破傳統社會領</w:t>
      </w:r>
      <w:r w:rsidR="00E94857">
        <w:rPr>
          <w:rFonts w:ascii="標楷體" w:eastAsia="標楷體" w:hAnsi="標楷體" w:cs="新細明體" w:hint="eastAsia"/>
          <w:color w:val="000000"/>
          <w:szCs w:val="24"/>
        </w:rPr>
        <w:t>域</w:t>
      </w:r>
      <w:r w:rsidR="00C813B6">
        <w:rPr>
          <w:rFonts w:ascii="標楷體" w:eastAsia="標楷體" w:hAnsi="標楷體" w:cs="新細明體" w:hint="eastAsia"/>
          <w:color w:val="000000"/>
          <w:szCs w:val="24"/>
        </w:rPr>
        <w:t>教學模式，強化</w:t>
      </w:r>
      <w:r w:rsidR="00E94857">
        <w:rPr>
          <w:rFonts w:ascii="標楷體" w:eastAsia="標楷體" w:hAnsi="標楷體" w:cs="新細明體" w:hint="eastAsia"/>
          <w:color w:val="000000"/>
          <w:szCs w:val="24"/>
        </w:rPr>
        <w:t>歷史與</w:t>
      </w:r>
      <w:r w:rsidR="00C813B6">
        <w:rPr>
          <w:rFonts w:ascii="標楷體" w:eastAsia="標楷體" w:hAnsi="標楷體" w:cs="新細明體" w:hint="eastAsia"/>
          <w:color w:val="000000"/>
          <w:szCs w:val="24"/>
        </w:rPr>
        <w:t>生活</w:t>
      </w:r>
      <w:r w:rsidR="00E94857">
        <w:rPr>
          <w:rFonts w:ascii="標楷體" w:eastAsia="標楷體" w:hAnsi="標楷體" w:cs="新細明體" w:hint="eastAsia"/>
          <w:color w:val="000000"/>
          <w:szCs w:val="24"/>
        </w:rPr>
        <w:t>之聯結</w:t>
      </w:r>
      <w:r w:rsidRPr="005511AB">
        <w:rPr>
          <w:rFonts w:ascii="標楷體" w:eastAsia="標楷體" w:hAnsi="標楷體" w:hint="eastAsia"/>
          <w:color w:val="000000"/>
          <w:szCs w:val="24"/>
        </w:rPr>
        <w:t>，</w:t>
      </w:r>
      <w:r w:rsidR="00C813B6">
        <w:rPr>
          <w:rFonts w:ascii="標楷體" w:eastAsia="標楷體" w:hAnsi="標楷體" w:hint="eastAsia"/>
          <w:color w:val="000000"/>
          <w:szCs w:val="24"/>
        </w:rPr>
        <w:t>並有助於</w:t>
      </w:r>
      <w:r w:rsidR="00E94857">
        <w:rPr>
          <w:rFonts w:ascii="標楷體" w:eastAsia="標楷體" w:hAnsi="標楷體" w:hint="eastAsia"/>
          <w:color w:val="000000"/>
          <w:szCs w:val="24"/>
        </w:rPr>
        <w:t>教師規劃社會領域探究活動</w:t>
      </w:r>
      <w:r w:rsidRPr="005511AB">
        <w:rPr>
          <w:rFonts w:ascii="標楷體" w:eastAsia="標楷體" w:hAnsi="標楷體" w:hint="eastAsia"/>
          <w:color w:val="000000"/>
          <w:szCs w:val="24"/>
        </w:rPr>
        <w:t>。</w:t>
      </w:r>
    </w:p>
    <w:p w:rsidR="00685A4D" w:rsidRPr="005511AB" w:rsidRDefault="00EA35AD" w:rsidP="00D24F72">
      <w:pPr>
        <w:tabs>
          <w:tab w:val="left" w:pos="709"/>
        </w:tabs>
        <w:spacing w:beforeLines="50" w:before="180"/>
        <w:rPr>
          <w:rFonts w:ascii="標楷體" w:eastAsia="標楷體" w:hAnsi="標楷體"/>
          <w:b/>
          <w:noProof/>
          <w:color w:val="000000"/>
          <w:szCs w:val="24"/>
        </w:rPr>
      </w:pPr>
      <w:r>
        <w:rPr>
          <w:rFonts w:ascii="標楷體" w:eastAsia="標楷體" w:hAnsi="標楷體" w:hint="eastAsia"/>
          <w:b/>
          <w:noProof/>
          <w:color w:val="000000"/>
          <w:szCs w:val="24"/>
        </w:rPr>
        <w:t>玖</w:t>
      </w:r>
      <w:r w:rsidR="00685A4D" w:rsidRPr="005511AB">
        <w:rPr>
          <w:rFonts w:ascii="標楷體" w:eastAsia="標楷體" w:hAnsi="標楷體"/>
          <w:b/>
          <w:noProof/>
          <w:color w:val="000000"/>
          <w:szCs w:val="24"/>
        </w:rPr>
        <w:t>、</w:t>
      </w:r>
      <w:r w:rsidR="00685A4D" w:rsidRPr="005511AB">
        <w:rPr>
          <w:rFonts w:ascii="標楷體" w:eastAsia="標楷體" w:hAnsi="標楷體" w:hint="eastAsia"/>
          <w:b/>
          <w:noProof/>
          <w:color w:val="000000"/>
          <w:szCs w:val="24"/>
        </w:rPr>
        <w:t xml:space="preserve">檢核評估機制    </w:t>
      </w:r>
    </w:p>
    <w:p w:rsidR="00685A4D" w:rsidRPr="005511AB" w:rsidRDefault="00685A4D" w:rsidP="00685A4D">
      <w:pPr>
        <w:widowControl/>
        <w:tabs>
          <w:tab w:val="left" w:pos="709"/>
          <w:tab w:val="left" w:pos="993"/>
        </w:tabs>
        <w:ind w:leftChars="118" w:left="847" w:hangingChars="235" w:hanging="564"/>
        <w:rPr>
          <w:rFonts w:ascii="標楷體" w:eastAsia="標楷體" w:hAnsi="標楷體" w:cs="新細明體"/>
          <w:color w:val="000000"/>
          <w:szCs w:val="24"/>
        </w:rPr>
      </w:pPr>
      <w:r w:rsidRPr="005511AB">
        <w:rPr>
          <w:rFonts w:ascii="標楷體" w:eastAsia="標楷體" w:hAnsi="標楷體" w:cs="新細明體" w:hint="eastAsia"/>
          <w:color w:val="000000"/>
          <w:szCs w:val="24"/>
        </w:rPr>
        <w:t>一、</w:t>
      </w:r>
      <w:r w:rsidRPr="005511AB">
        <w:rPr>
          <w:rFonts w:ascii="標楷體" w:eastAsia="標楷體" w:hAnsi="標楷體" w:hint="eastAsia"/>
          <w:color w:val="000000"/>
          <w:szCs w:val="24"/>
        </w:rPr>
        <w:t>研習員填寫滿意度調查問卷，彙整結果妥善運用，以利未來活動辦理之參考。</w:t>
      </w:r>
    </w:p>
    <w:p w:rsidR="00685A4D" w:rsidRPr="005511AB" w:rsidRDefault="00685A4D" w:rsidP="00685A4D">
      <w:pPr>
        <w:widowControl/>
        <w:tabs>
          <w:tab w:val="left" w:pos="709"/>
          <w:tab w:val="left" w:pos="993"/>
        </w:tabs>
        <w:ind w:leftChars="118" w:left="847" w:hangingChars="235" w:hanging="564"/>
        <w:rPr>
          <w:rFonts w:ascii="標楷體" w:eastAsia="標楷體" w:hAnsi="標楷體"/>
          <w:color w:val="000000"/>
          <w:szCs w:val="24"/>
        </w:rPr>
      </w:pPr>
      <w:r w:rsidRPr="005511AB">
        <w:rPr>
          <w:rFonts w:ascii="標楷體" w:eastAsia="標楷體" w:hAnsi="標楷體" w:cs="新細明體" w:hint="eastAsia"/>
          <w:color w:val="000000"/>
          <w:szCs w:val="24"/>
        </w:rPr>
        <w:t>二、</w:t>
      </w:r>
      <w:r w:rsidRPr="005511AB">
        <w:rPr>
          <w:rFonts w:ascii="標楷體" w:eastAsia="標楷體" w:hAnsi="標楷體" w:hint="eastAsia"/>
          <w:color w:val="000000"/>
          <w:szCs w:val="24"/>
        </w:rPr>
        <w:t>建置</w:t>
      </w:r>
      <w:r w:rsidRPr="005511AB">
        <w:rPr>
          <w:rFonts w:ascii="標楷體" w:eastAsia="標楷體" w:hAnsi="標楷體"/>
          <w:color w:val="000000"/>
          <w:szCs w:val="24"/>
        </w:rPr>
        <w:t>教師專業支援平台</w:t>
      </w:r>
      <w:r w:rsidRPr="005511AB">
        <w:rPr>
          <w:rFonts w:ascii="標楷體" w:eastAsia="標楷體" w:hAnsi="標楷體" w:hint="eastAsia"/>
          <w:color w:val="000000"/>
          <w:szCs w:val="24"/>
        </w:rPr>
        <w:t>，據以瞭解教師精進需求，以調整教師專業增能策略。</w:t>
      </w:r>
    </w:p>
    <w:p w:rsidR="00685A4D" w:rsidRPr="005511AB" w:rsidRDefault="00685A4D" w:rsidP="00685A4D">
      <w:pPr>
        <w:widowControl/>
        <w:tabs>
          <w:tab w:val="left" w:pos="709"/>
          <w:tab w:val="left" w:pos="993"/>
        </w:tabs>
        <w:ind w:leftChars="118" w:left="847" w:hangingChars="235" w:hanging="564"/>
        <w:rPr>
          <w:rFonts w:ascii="標楷體" w:eastAsia="標楷體" w:hAnsi="標楷體" w:cs="新細明體"/>
          <w:color w:val="000000"/>
          <w:szCs w:val="24"/>
        </w:rPr>
      </w:pPr>
      <w:r w:rsidRPr="005511AB">
        <w:rPr>
          <w:rFonts w:ascii="標楷體" w:eastAsia="標楷體" w:hAnsi="標楷體" w:cs="新細明體" w:hint="eastAsia"/>
          <w:color w:val="000000"/>
          <w:szCs w:val="24"/>
        </w:rPr>
        <w:t>三、</w:t>
      </w:r>
      <w:r w:rsidRPr="005511AB">
        <w:rPr>
          <w:rFonts w:ascii="標楷體" w:eastAsia="標楷體" w:hAnsi="標楷體" w:hint="eastAsia"/>
          <w:color w:val="000000"/>
          <w:szCs w:val="24"/>
        </w:rPr>
        <w:t>召開</w:t>
      </w:r>
      <w:r w:rsidRPr="005511AB">
        <w:rPr>
          <w:rFonts w:ascii="標楷體" w:eastAsia="標楷體" w:hAnsi="標楷體"/>
          <w:color w:val="000000"/>
          <w:szCs w:val="24"/>
        </w:rPr>
        <w:t>會議研討</w:t>
      </w:r>
      <w:r w:rsidRPr="005511AB">
        <w:rPr>
          <w:rFonts w:ascii="標楷體" w:eastAsia="標楷體" w:hAnsi="標楷體" w:hint="eastAsia"/>
          <w:color w:val="000000"/>
          <w:szCs w:val="24"/>
        </w:rPr>
        <w:t>方向與成效</w:t>
      </w:r>
      <w:r w:rsidRPr="005511AB">
        <w:rPr>
          <w:rFonts w:ascii="標楷體" w:eastAsia="標楷體" w:hAnsi="標楷體"/>
          <w:color w:val="000000"/>
          <w:szCs w:val="24"/>
        </w:rPr>
        <w:t>，</w:t>
      </w:r>
      <w:r w:rsidRPr="005511AB">
        <w:rPr>
          <w:rFonts w:ascii="標楷體" w:eastAsia="標楷體" w:hAnsi="標楷體" w:hint="eastAsia"/>
          <w:color w:val="000000"/>
          <w:szCs w:val="24"/>
        </w:rPr>
        <w:t>落實檢核之回饋機制，以調整精進教學品質</w:t>
      </w:r>
      <w:r w:rsidRPr="005511AB">
        <w:rPr>
          <w:rFonts w:ascii="標楷體" w:eastAsia="標楷體" w:hAnsi="標楷體"/>
          <w:color w:val="000000"/>
          <w:szCs w:val="24"/>
        </w:rPr>
        <w:t>做法</w:t>
      </w:r>
      <w:r w:rsidRPr="005511AB">
        <w:rPr>
          <w:rFonts w:ascii="標楷體" w:eastAsia="標楷體" w:hAnsi="標楷體" w:hint="eastAsia"/>
          <w:color w:val="000000"/>
          <w:szCs w:val="24"/>
        </w:rPr>
        <w:t>。</w:t>
      </w:r>
    </w:p>
    <w:p w:rsidR="00685A4D" w:rsidRDefault="00EA35AD" w:rsidP="00D24F72">
      <w:pPr>
        <w:spacing w:beforeLines="50" w:before="180"/>
        <w:rPr>
          <w:rFonts w:ascii="標楷體" w:eastAsia="標楷體" w:hAnsi="標楷體"/>
          <w:color w:val="000000"/>
          <w:szCs w:val="24"/>
        </w:rPr>
      </w:pPr>
      <w:r>
        <w:rPr>
          <w:rFonts w:ascii="標楷體" w:eastAsia="標楷體" w:hAnsi="標楷體" w:hint="eastAsia"/>
          <w:b/>
          <w:noProof/>
          <w:color w:val="000000"/>
          <w:szCs w:val="24"/>
        </w:rPr>
        <w:t>拾</w:t>
      </w:r>
      <w:r w:rsidR="00685A4D" w:rsidRPr="005511AB">
        <w:rPr>
          <w:rFonts w:ascii="標楷體" w:eastAsia="標楷體" w:hAnsi="標楷體" w:hint="eastAsia"/>
          <w:b/>
          <w:noProof/>
          <w:color w:val="000000"/>
          <w:szCs w:val="24"/>
        </w:rPr>
        <w:t>、經費需求：</w:t>
      </w:r>
      <w:r w:rsidR="00685A4D" w:rsidRPr="005511AB">
        <w:rPr>
          <w:rFonts w:ascii="標楷體" w:eastAsia="標楷體" w:hAnsi="標楷體" w:hint="eastAsia"/>
          <w:noProof/>
          <w:color w:val="000000"/>
          <w:szCs w:val="24"/>
        </w:rPr>
        <w:t>由</w:t>
      </w:r>
      <w:r w:rsidR="00685A4D" w:rsidRPr="005511AB">
        <w:rPr>
          <w:rFonts w:ascii="標楷體" w:eastAsia="標楷體" w:hAnsi="標楷體" w:hint="eastAsia"/>
          <w:color w:val="000000"/>
          <w:szCs w:val="24"/>
        </w:rPr>
        <w:t>臺北市</w:t>
      </w:r>
      <w:r w:rsidR="00E94857">
        <w:rPr>
          <w:rFonts w:ascii="標楷體" w:eastAsia="標楷體" w:hAnsi="標楷體" w:hint="eastAsia"/>
          <w:color w:val="000000"/>
          <w:szCs w:val="24"/>
        </w:rPr>
        <w:t>教師研習中心</w:t>
      </w:r>
      <w:r w:rsidR="00685A4D" w:rsidRPr="005511AB">
        <w:rPr>
          <w:rFonts w:ascii="標楷體" w:eastAsia="標楷體" w:hAnsi="標楷體" w:hint="eastAsia"/>
          <w:szCs w:val="24"/>
        </w:rPr>
        <w:t>相關</w:t>
      </w:r>
      <w:r w:rsidR="00685A4D" w:rsidRPr="005511AB">
        <w:rPr>
          <w:rFonts w:ascii="標楷體" w:eastAsia="標楷體" w:hAnsi="標楷體" w:hint="eastAsia"/>
          <w:color w:val="000000"/>
          <w:szCs w:val="24"/>
        </w:rPr>
        <w:t>經費支應。</w:t>
      </w: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Pr="00D107FE" w:rsidRDefault="00DA1D16" w:rsidP="00D24F72">
      <w:pPr>
        <w:spacing w:beforeLines="50" w:before="180"/>
        <w:rPr>
          <w:rFonts w:ascii="標楷體" w:eastAsia="標楷體" w:hAnsi="標楷體"/>
          <w:b/>
          <w:noProof/>
          <w:color w:val="000000"/>
          <w:szCs w:val="24"/>
        </w:rPr>
      </w:pPr>
    </w:p>
    <w:p w:rsidR="00685A4D" w:rsidRPr="005511AB" w:rsidRDefault="00685A4D" w:rsidP="00685A4D">
      <w:pPr>
        <w:pStyle w:val="a3"/>
        <w:ind w:leftChars="0" w:left="0"/>
        <w:rPr>
          <w:rFonts w:ascii="標楷體" w:eastAsia="標楷體" w:hAnsi="標楷體"/>
          <w:color w:val="000000"/>
          <w:szCs w:val="24"/>
        </w:rPr>
      </w:pPr>
      <w:r w:rsidRPr="005511AB">
        <w:rPr>
          <w:rFonts w:ascii="標楷體" w:eastAsia="標楷體" w:hAnsi="標楷體" w:hint="eastAsia"/>
          <w:b/>
          <w:noProof/>
          <w:color w:val="000000"/>
          <w:szCs w:val="24"/>
        </w:rPr>
        <w:t xml:space="preserve">  </w:t>
      </w:r>
    </w:p>
    <w:p w:rsidR="001C1A46" w:rsidRPr="00FD0189" w:rsidRDefault="001C1A46" w:rsidP="00685A4D">
      <w:pPr>
        <w:rPr>
          <w:szCs w:val="24"/>
        </w:rPr>
      </w:pPr>
    </w:p>
    <w:sectPr w:rsidR="001C1A46" w:rsidRPr="00FD0189" w:rsidSect="002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6B" w:rsidRDefault="00546C6B" w:rsidP="004A004B">
      <w:r>
        <w:separator/>
      </w:r>
    </w:p>
  </w:endnote>
  <w:endnote w:type="continuationSeparator" w:id="0">
    <w:p w:rsidR="00546C6B" w:rsidRDefault="00546C6B" w:rsidP="004A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6B" w:rsidRDefault="00546C6B" w:rsidP="004A004B">
      <w:r>
        <w:separator/>
      </w:r>
    </w:p>
  </w:footnote>
  <w:footnote w:type="continuationSeparator" w:id="0">
    <w:p w:rsidR="00546C6B" w:rsidRDefault="00546C6B" w:rsidP="004A0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21EA0"/>
    <w:multiLevelType w:val="hybridMultilevel"/>
    <w:tmpl w:val="9872E170"/>
    <w:lvl w:ilvl="0" w:tplc="F79600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1705E5"/>
    <w:multiLevelType w:val="hybridMultilevel"/>
    <w:tmpl w:val="F788C4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46"/>
    <w:rsid w:val="000753B1"/>
    <w:rsid w:val="00171A9E"/>
    <w:rsid w:val="001C1A46"/>
    <w:rsid w:val="001F39EC"/>
    <w:rsid w:val="00242056"/>
    <w:rsid w:val="00262EA8"/>
    <w:rsid w:val="002819CC"/>
    <w:rsid w:val="002D1A54"/>
    <w:rsid w:val="002E50B1"/>
    <w:rsid w:val="00345DB5"/>
    <w:rsid w:val="00363414"/>
    <w:rsid w:val="00410423"/>
    <w:rsid w:val="004740E1"/>
    <w:rsid w:val="004A004B"/>
    <w:rsid w:val="004E3451"/>
    <w:rsid w:val="004E58AC"/>
    <w:rsid w:val="005162BB"/>
    <w:rsid w:val="00546C6B"/>
    <w:rsid w:val="005511AB"/>
    <w:rsid w:val="005E6B0C"/>
    <w:rsid w:val="00685A4D"/>
    <w:rsid w:val="006B18E9"/>
    <w:rsid w:val="0077058F"/>
    <w:rsid w:val="007A083A"/>
    <w:rsid w:val="00807999"/>
    <w:rsid w:val="00847B30"/>
    <w:rsid w:val="00847D05"/>
    <w:rsid w:val="00897897"/>
    <w:rsid w:val="008A7064"/>
    <w:rsid w:val="008B2382"/>
    <w:rsid w:val="008B3F89"/>
    <w:rsid w:val="008C308D"/>
    <w:rsid w:val="00907E4A"/>
    <w:rsid w:val="00927103"/>
    <w:rsid w:val="00A56036"/>
    <w:rsid w:val="00A5791C"/>
    <w:rsid w:val="00A74B78"/>
    <w:rsid w:val="00AD42A1"/>
    <w:rsid w:val="00B1750F"/>
    <w:rsid w:val="00B54178"/>
    <w:rsid w:val="00B640D1"/>
    <w:rsid w:val="00C200BD"/>
    <w:rsid w:val="00C813B6"/>
    <w:rsid w:val="00C943F7"/>
    <w:rsid w:val="00CB280C"/>
    <w:rsid w:val="00CC1062"/>
    <w:rsid w:val="00D1037A"/>
    <w:rsid w:val="00D107FE"/>
    <w:rsid w:val="00D24F72"/>
    <w:rsid w:val="00DA1D16"/>
    <w:rsid w:val="00E065D0"/>
    <w:rsid w:val="00E533FB"/>
    <w:rsid w:val="00E94857"/>
    <w:rsid w:val="00EA35AD"/>
    <w:rsid w:val="00EB01C3"/>
    <w:rsid w:val="00F2603F"/>
    <w:rsid w:val="00F45C93"/>
    <w:rsid w:val="00FB28C8"/>
    <w:rsid w:val="00FD0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46"/>
    <w:pPr>
      <w:ind w:leftChars="200" w:left="480"/>
    </w:pPr>
  </w:style>
  <w:style w:type="table" w:styleId="a4">
    <w:name w:val="Table Grid"/>
    <w:basedOn w:val="a1"/>
    <w:uiPriority w:val="39"/>
    <w:rsid w:val="001C1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740E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740E1"/>
    <w:rPr>
      <w:rFonts w:asciiTheme="majorHAnsi" w:eastAsiaTheme="majorEastAsia" w:hAnsiTheme="majorHAnsi" w:cstheme="majorBidi"/>
      <w:sz w:val="18"/>
      <w:szCs w:val="18"/>
    </w:rPr>
  </w:style>
  <w:style w:type="paragraph" w:styleId="a7">
    <w:name w:val="header"/>
    <w:basedOn w:val="a"/>
    <w:link w:val="a8"/>
    <w:uiPriority w:val="99"/>
    <w:unhideWhenUsed/>
    <w:rsid w:val="004A004B"/>
    <w:pPr>
      <w:tabs>
        <w:tab w:val="center" w:pos="4153"/>
        <w:tab w:val="right" w:pos="8306"/>
      </w:tabs>
      <w:snapToGrid w:val="0"/>
    </w:pPr>
    <w:rPr>
      <w:sz w:val="20"/>
      <w:szCs w:val="20"/>
    </w:rPr>
  </w:style>
  <w:style w:type="character" w:customStyle="1" w:styleId="a8">
    <w:name w:val="頁首 字元"/>
    <w:basedOn w:val="a0"/>
    <w:link w:val="a7"/>
    <w:uiPriority w:val="99"/>
    <w:rsid w:val="004A004B"/>
    <w:rPr>
      <w:sz w:val="20"/>
      <w:szCs w:val="20"/>
    </w:rPr>
  </w:style>
  <w:style w:type="paragraph" w:styleId="a9">
    <w:name w:val="footer"/>
    <w:basedOn w:val="a"/>
    <w:link w:val="aa"/>
    <w:uiPriority w:val="99"/>
    <w:unhideWhenUsed/>
    <w:rsid w:val="004A004B"/>
    <w:pPr>
      <w:tabs>
        <w:tab w:val="center" w:pos="4153"/>
        <w:tab w:val="right" w:pos="8306"/>
      </w:tabs>
      <w:snapToGrid w:val="0"/>
    </w:pPr>
    <w:rPr>
      <w:sz w:val="20"/>
      <w:szCs w:val="20"/>
    </w:rPr>
  </w:style>
  <w:style w:type="character" w:customStyle="1" w:styleId="aa">
    <w:name w:val="頁尾 字元"/>
    <w:basedOn w:val="a0"/>
    <w:link w:val="a9"/>
    <w:uiPriority w:val="99"/>
    <w:rsid w:val="004A004B"/>
    <w:rPr>
      <w:sz w:val="20"/>
      <w:szCs w:val="20"/>
    </w:rPr>
  </w:style>
  <w:style w:type="character" w:styleId="ab">
    <w:name w:val="Hyperlink"/>
    <w:rsid w:val="00E94857"/>
    <w:rPr>
      <w:color w:val="0032B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46"/>
    <w:pPr>
      <w:ind w:leftChars="200" w:left="480"/>
    </w:pPr>
  </w:style>
  <w:style w:type="table" w:styleId="a4">
    <w:name w:val="Table Grid"/>
    <w:basedOn w:val="a1"/>
    <w:uiPriority w:val="39"/>
    <w:rsid w:val="001C1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740E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740E1"/>
    <w:rPr>
      <w:rFonts w:asciiTheme="majorHAnsi" w:eastAsiaTheme="majorEastAsia" w:hAnsiTheme="majorHAnsi" w:cstheme="majorBidi"/>
      <w:sz w:val="18"/>
      <w:szCs w:val="18"/>
    </w:rPr>
  </w:style>
  <w:style w:type="paragraph" w:styleId="a7">
    <w:name w:val="header"/>
    <w:basedOn w:val="a"/>
    <w:link w:val="a8"/>
    <w:uiPriority w:val="99"/>
    <w:unhideWhenUsed/>
    <w:rsid w:val="004A004B"/>
    <w:pPr>
      <w:tabs>
        <w:tab w:val="center" w:pos="4153"/>
        <w:tab w:val="right" w:pos="8306"/>
      </w:tabs>
      <w:snapToGrid w:val="0"/>
    </w:pPr>
    <w:rPr>
      <w:sz w:val="20"/>
      <w:szCs w:val="20"/>
    </w:rPr>
  </w:style>
  <w:style w:type="character" w:customStyle="1" w:styleId="a8">
    <w:name w:val="頁首 字元"/>
    <w:basedOn w:val="a0"/>
    <w:link w:val="a7"/>
    <w:uiPriority w:val="99"/>
    <w:rsid w:val="004A004B"/>
    <w:rPr>
      <w:sz w:val="20"/>
      <w:szCs w:val="20"/>
    </w:rPr>
  </w:style>
  <w:style w:type="paragraph" w:styleId="a9">
    <w:name w:val="footer"/>
    <w:basedOn w:val="a"/>
    <w:link w:val="aa"/>
    <w:uiPriority w:val="99"/>
    <w:unhideWhenUsed/>
    <w:rsid w:val="004A004B"/>
    <w:pPr>
      <w:tabs>
        <w:tab w:val="center" w:pos="4153"/>
        <w:tab w:val="right" w:pos="8306"/>
      </w:tabs>
      <w:snapToGrid w:val="0"/>
    </w:pPr>
    <w:rPr>
      <w:sz w:val="20"/>
      <w:szCs w:val="20"/>
    </w:rPr>
  </w:style>
  <w:style w:type="character" w:customStyle="1" w:styleId="aa">
    <w:name w:val="頁尾 字元"/>
    <w:basedOn w:val="a0"/>
    <w:link w:val="a9"/>
    <w:uiPriority w:val="99"/>
    <w:rsid w:val="004A004B"/>
    <w:rPr>
      <w:sz w:val="20"/>
      <w:szCs w:val="20"/>
    </w:rPr>
  </w:style>
  <w:style w:type="character" w:styleId="ab">
    <w:name w:val="Hyperlink"/>
    <w:rsid w:val="00E94857"/>
    <w:rPr>
      <w:color w:val="0032B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c.tp.edu.tw/index/DefBod.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18BE-ED09-4348-BDE6-26F2521E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郭惠琳</dc:creator>
  <cp:lastModifiedBy>李昀</cp:lastModifiedBy>
  <cp:revision>9</cp:revision>
  <cp:lastPrinted>2017-09-12T03:43:00Z</cp:lastPrinted>
  <dcterms:created xsi:type="dcterms:W3CDTF">2019-11-29T08:38:00Z</dcterms:created>
  <dcterms:modified xsi:type="dcterms:W3CDTF">2020-02-13T01:14:00Z</dcterms:modified>
</cp:coreProperties>
</file>