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A8" w:rsidRPr="009164CF" w:rsidRDefault="00082C67" w:rsidP="002B1FA8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9164C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臺北市政府社會局士林</w:t>
      </w:r>
      <w:r w:rsidRPr="009164C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社會</w:t>
      </w:r>
      <w:r w:rsidRPr="009164C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福利服務中心</w:t>
      </w:r>
    </w:p>
    <w:p w:rsidR="00012425" w:rsidRPr="009164CF" w:rsidRDefault="00082C67" w:rsidP="0001242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164C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106</w:t>
      </w:r>
      <w:r w:rsidRPr="009164C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「關愛自己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守護家園」</w:t>
      </w:r>
      <w:r w:rsidRPr="009164C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士林區友善陪伴種子人員訓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練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計畫書</w:t>
      </w:r>
    </w:p>
    <w:p w:rsidR="00A92BF6" w:rsidRPr="009164CF" w:rsidRDefault="00082C67" w:rsidP="00A92BF6">
      <w:pPr>
        <w:adjustRightInd w:val="0"/>
        <w:snapToGrid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7F04A6" w:rsidRPr="009164CF" w:rsidRDefault="00082C67" w:rsidP="00A92BF6">
      <w:pPr>
        <w:adjustRightInd w:val="0"/>
        <w:snapToGrid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13418D" w:rsidRPr="009164CF" w:rsidRDefault="00082C67" w:rsidP="00A92BF6">
      <w:pPr>
        <w:adjustRightInd w:val="0"/>
        <w:snapToGrid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緣起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Pr="009164CF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:rsidR="009308C5" w:rsidRPr="009164CF" w:rsidRDefault="00082C67" w:rsidP="00ED6A9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4CF">
        <w:rPr>
          <w:color w:val="000000" w:themeColor="text1"/>
        </w:rPr>
        <w:tab/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因應近年來發生多起隨機殺人、傷人、</w:t>
      </w:r>
      <w:proofErr w:type="gramStart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虐</w:t>
      </w:r>
      <w:proofErr w:type="gramEnd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童等社會危機事件，本府致力補強社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會安全網，</w:t>
      </w:r>
      <w:proofErr w:type="gramStart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議「強化政府專業服務系統」及「全民參與」之方向。為落實並強化七項安全網絡之執行以及社區支持系統，本中心規劃</w:t>
      </w:r>
      <w:proofErr w:type="gramStart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以後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港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次分區</w:t>
      </w:r>
      <w:proofErr w:type="gramEnd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優先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示範區，辦理友善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陪伴種子人員訓練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希冀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透過</w:t>
      </w:r>
      <w:proofErr w:type="gramStart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發掘並培力</w:t>
      </w:r>
      <w:proofErr w:type="gramEnd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社區熱心友善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民眾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，一同加入關懷周遭里鄰之行列，補強社會安全網絡以預防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社會危機事件之發生，共創溫馨、安全、互助的宜居城市。</w:t>
      </w:r>
    </w:p>
    <w:p w:rsidR="001F1D26" w:rsidRPr="009164CF" w:rsidRDefault="00082C67" w:rsidP="00B23F61">
      <w:pPr>
        <w:spacing w:line="7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目標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ED6A9C" w:rsidRPr="009164CF" w:rsidRDefault="00082C67" w:rsidP="00ED6A9C">
      <w:pPr>
        <w:spacing w:line="50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增強參訓成員</w:t>
      </w:r>
      <w:proofErr w:type="gramEnd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關係建立、同理心、正向語言等簡易助人技巧。</w:t>
      </w:r>
    </w:p>
    <w:p w:rsidR="00EA75AE" w:rsidRPr="009164CF" w:rsidRDefault="00082C67" w:rsidP="00ED6A9C">
      <w:pPr>
        <w:spacing w:line="500" w:lineRule="exact"/>
        <w:ind w:firstLineChars="202" w:firstLine="56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9164CF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proofErr w:type="gramStart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強化參訓成員</w:t>
      </w:r>
      <w:proofErr w:type="gramEnd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對於社區危機事件之關切及敏感度。</w:t>
      </w:r>
    </w:p>
    <w:p w:rsidR="001F1D26" w:rsidRPr="009164CF" w:rsidRDefault="00082C67" w:rsidP="00B23F61">
      <w:pPr>
        <w:spacing w:line="7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、辦理單位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Pr="009164CF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:rsidR="008F704C" w:rsidRPr="009164CF" w:rsidRDefault="00082C67" w:rsidP="00E41C9C">
      <w:pPr>
        <w:spacing w:line="50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臺北市政府社會局士林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社會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福利服務中心</w:t>
      </w:r>
    </w:p>
    <w:p w:rsidR="001F1D26" w:rsidRPr="009164CF" w:rsidRDefault="00082C67" w:rsidP="00B23F61">
      <w:pPr>
        <w:spacing w:line="7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、辦理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時間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D37D08" w:rsidRDefault="00082C67" w:rsidP="0093305D">
      <w:pPr>
        <w:spacing w:line="5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星期五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17: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</w:p>
    <w:p w:rsidR="00262DB7" w:rsidRPr="009164CF" w:rsidRDefault="00082C67" w:rsidP="0093305D">
      <w:pPr>
        <w:spacing w:line="5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106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星期三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106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星期三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)13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擇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梯參加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課程共計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小時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F1D26" w:rsidRPr="009164CF" w:rsidRDefault="00082C67" w:rsidP="00B23F61">
      <w:pPr>
        <w:spacing w:line="7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、培訓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地點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091026" w:rsidRPr="009164CF" w:rsidRDefault="00082C67" w:rsidP="003018EB">
      <w:pPr>
        <w:spacing w:line="44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臺北市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士林區公所義信區民活動中心</w:t>
      </w:r>
      <w:proofErr w:type="gramStart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地址：士林區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基河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路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132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B1</w:t>
      </w:r>
      <w:proofErr w:type="gramStart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:rsidR="001F1D26" w:rsidRPr="009164CF" w:rsidRDefault="00082C67" w:rsidP="00B23F61">
      <w:pPr>
        <w:spacing w:line="7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培訓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對象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913A33" w:rsidRDefault="00082C67" w:rsidP="001F00C4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社會安全網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七大網絡單位、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士林區</w:t>
      </w:r>
      <w:proofErr w:type="gramStart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後港次分區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及社子島地區九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個里辦公處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等單位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志工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以及士林區里幹事，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預計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E4731" w:rsidRPr="009164CF" w:rsidRDefault="00082C67" w:rsidP="001F00C4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F04A6" w:rsidRPr="009164CF" w:rsidRDefault="00082C67" w:rsidP="00A07F6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6167BB" w:rsidRDefault="00082C67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D37D08" w:rsidRDefault="00082C67" w:rsidP="00A07F6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七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培訓內容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31296E" w:rsidRPr="000B0EFC" w:rsidRDefault="00082C67" w:rsidP="0031296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（一）第一場：</w:t>
      </w:r>
      <w:r w:rsidRPr="00841FEF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6</w:t>
      </w:r>
      <w:r w:rsidRPr="00841FEF">
        <w:rPr>
          <w:rFonts w:ascii="標楷體" w:eastAsia="標楷體" w:hAnsi="標楷體" w:hint="eastAsia"/>
          <w:szCs w:val="24"/>
        </w:rPr>
        <w:t>年</w:t>
      </w:r>
      <w:r w:rsidRPr="00841FEF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szCs w:val="24"/>
        </w:rPr>
        <w:t>3</w:t>
      </w:r>
      <w:r w:rsidRPr="00841FEF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24</w:t>
      </w:r>
      <w:r>
        <w:rPr>
          <w:rFonts w:ascii="標楷體" w:eastAsia="標楷體" w:hAnsi="標楷體" w:hint="eastAsia"/>
          <w:szCs w:val="24"/>
        </w:rPr>
        <w:t>日（星期五</w:t>
      </w:r>
      <w:r w:rsidRPr="00841FEF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13</w:t>
      </w:r>
      <w:r w:rsidRPr="00841FEF">
        <w:rPr>
          <w:rFonts w:ascii="標楷體" w:eastAsia="標楷體" w:hAnsi="標楷體" w:hint="eastAsia"/>
          <w:szCs w:val="24"/>
        </w:rPr>
        <w:t>：</w:t>
      </w:r>
      <w:r w:rsidRPr="00841FEF">
        <w:rPr>
          <w:rFonts w:ascii="標楷體" w:eastAsia="標楷體" w:hAnsi="標楷體" w:hint="eastAsia"/>
          <w:szCs w:val="24"/>
        </w:rPr>
        <w:t>30</w:t>
      </w:r>
      <w:proofErr w:type="gramStart"/>
      <w:r w:rsidRPr="00841FEF">
        <w:rPr>
          <w:rFonts w:ascii="標楷體" w:eastAsia="標楷體" w:hAnsi="標楷體"/>
          <w:szCs w:val="24"/>
        </w:rPr>
        <w:t>—</w:t>
      </w:r>
      <w:proofErr w:type="gramEnd"/>
      <w:r w:rsidRPr="00841FEF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7</w:t>
      </w:r>
      <w:r w:rsidRPr="00841FEF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30</w:t>
      </w:r>
    </w:p>
    <w:tbl>
      <w:tblPr>
        <w:tblW w:w="9738" w:type="dxa"/>
        <w:jc w:val="center"/>
        <w:tblInd w:w="-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288"/>
        <w:gridCol w:w="1585"/>
        <w:gridCol w:w="1855"/>
        <w:gridCol w:w="2849"/>
        <w:gridCol w:w="2161"/>
      </w:tblGrid>
      <w:tr w:rsidR="009164CF" w:rsidRPr="009164CF" w:rsidTr="00E300DD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15DB4" w:rsidRPr="009164CF" w:rsidRDefault="00082C67" w:rsidP="00AB674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15DB4" w:rsidRPr="009164CF" w:rsidRDefault="00082C67" w:rsidP="00D15DB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15DB4" w:rsidRPr="009164CF" w:rsidRDefault="00082C67" w:rsidP="00D15DB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課程主題</w:t>
            </w:r>
          </w:p>
        </w:tc>
        <w:tc>
          <w:tcPr>
            <w:tcW w:w="28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15DB4" w:rsidRPr="009164CF" w:rsidRDefault="00082C67" w:rsidP="00D15DB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15DB4" w:rsidRPr="009164CF" w:rsidRDefault="00082C67" w:rsidP="00D15DB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</w:t>
            </w:r>
          </w:p>
        </w:tc>
      </w:tr>
      <w:tr w:rsidR="009164CF" w:rsidRPr="009164CF" w:rsidTr="00E300DD">
        <w:tblPrEx>
          <w:tblCellMar>
            <w:top w:w="0" w:type="dxa"/>
            <w:bottom w:w="0" w:type="dxa"/>
          </w:tblCellMar>
        </w:tblPrEx>
        <w:trPr>
          <w:trHeight w:val="1115"/>
          <w:jc w:val="center"/>
        </w:trPr>
        <w:tc>
          <w:tcPr>
            <w:tcW w:w="1288" w:type="dxa"/>
            <w:vMerge w:val="restart"/>
            <w:vAlign w:val="center"/>
          </w:tcPr>
          <w:p w:rsidR="0093305D" w:rsidRDefault="00082C67" w:rsidP="00F51CE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24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  <w:p w:rsidR="00D37D08" w:rsidRPr="009164CF" w:rsidRDefault="00082C67" w:rsidP="00F51CE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05D" w:rsidRPr="009164CF" w:rsidRDefault="00082C67" w:rsidP="008F704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9164CF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05D" w:rsidRDefault="00082C67" w:rsidP="00A07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社會安全網</w:t>
            </w:r>
          </w:p>
          <w:p w:rsidR="00AD2E44" w:rsidRPr="009164CF" w:rsidRDefault="00082C67" w:rsidP="00A07F6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福利資源介紹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05D" w:rsidRPr="009164CF" w:rsidRDefault="00082C67" w:rsidP="00D15DB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中心說明社會安全網理念目標，以及中心可運用之資源。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05D" w:rsidRPr="009164CF" w:rsidRDefault="00082C67" w:rsidP="002B20D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士林社福中心</w:t>
            </w:r>
          </w:p>
          <w:p w:rsidR="0093305D" w:rsidRPr="009164CF" w:rsidRDefault="00082C67" w:rsidP="002B20D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陳怡如主任</w:t>
            </w:r>
          </w:p>
        </w:tc>
      </w:tr>
      <w:tr w:rsidR="009164CF" w:rsidRPr="009164CF" w:rsidTr="00E300DD">
        <w:tblPrEx>
          <w:tblCellMar>
            <w:top w:w="0" w:type="dxa"/>
            <w:bottom w:w="0" w:type="dxa"/>
          </w:tblCellMar>
        </w:tblPrEx>
        <w:trPr>
          <w:trHeight w:val="827"/>
          <w:jc w:val="center"/>
        </w:trPr>
        <w:tc>
          <w:tcPr>
            <w:tcW w:w="1288" w:type="dxa"/>
            <w:vMerge/>
            <w:vAlign w:val="center"/>
          </w:tcPr>
          <w:p w:rsidR="0093305D" w:rsidRPr="009164CF" w:rsidRDefault="00082C67" w:rsidP="00F51CE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05D" w:rsidRPr="009164CF" w:rsidRDefault="00082C67" w:rsidP="008F704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9164CF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05D" w:rsidRPr="009164CF" w:rsidRDefault="00082C67" w:rsidP="006D53F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友善路人甲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05D" w:rsidRPr="009164CF" w:rsidRDefault="00082C67" w:rsidP="00D15DB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介紹、說明成為友善「路人甲」之相關方式。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D7E" w:rsidRDefault="00082C67" w:rsidP="002B20D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婦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女救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援</w:t>
            </w:r>
          </w:p>
          <w:p w:rsidR="0093305D" w:rsidRPr="009164CF" w:rsidRDefault="00082C67" w:rsidP="002B20D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基金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</w:p>
          <w:p w:rsidR="0093305D" w:rsidRPr="009164CF" w:rsidRDefault="00082C67" w:rsidP="002B20D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王海玲主任</w:t>
            </w:r>
          </w:p>
        </w:tc>
      </w:tr>
      <w:tr w:rsidR="009164CF" w:rsidRPr="009164CF" w:rsidTr="00E300DD">
        <w:tblPrEx>
          <w:tblCellMar>
            <w:top w:w="0" w:type="dxa"/>
            <w:bottom w:w="0" w:type="dxa"/>
          </w:tblCellMar>
        </w:tblPrEx>
        <w:trPr>
          <w:trHeight w:val="827"/>
          <w:jc w:val="center"/>
        </w:trPr>
        <w:tc>
          <w:tcPr>
            <w:tcW w:w="1288" w:type="dxa"/>
            <w:vMerge/>
            <w:tcBorders>
              <w:bottom w:val="single" w:sz="4" w:space="0" w:color="auto"/>
            </w:tcBorders>
            <w:vAlign w:val="center"/>
          </w:tcPr>
          <w:p w:rsidR="0093305D" w:rsidRPr="009164CF" w:rsidRDefault="00082C67" w:rsidP="00F51CE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05D" w:rsidRPr="009164CF" w:rsidRDefault="00082C67" w:rsidP="008F704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9164CF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17: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05D" w:rsidRPr="009164CF" w:rsidRDefault="00082C67" w:rsidP="006D53F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綜合座談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05D" w:rsidRPr="009164CF" w:rsidRDefault="00082C67" w:rsidP="00D15DB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當天課程參與經驗交流。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4A6" w:rsidRPr="009164CF" w:rsidRDefault="00082C67" w:rsidP="007F04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士林社福中心</w:t>
            </w:r>
          </w:p>
          <w:p w:rsidR="0093305D" w:rsidRPr="009164CF" w:rsidRDefault="00082C67" w:rsidP="007F04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陳怡如主任</w:t>
            </w:r>
          </w:p>
        </w:tc>
      </w:tr>
    </w:tbl>
    <w:p w:rsidR="0031296E" w:rsidRDefault="00082C67" w:rsidP="0031296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（二）第二場：</w:t>
      </w:r>
      <w:proofErr w:type="gramStart"/>
      <w:r w:rsidRPr="0056644C">
        <w:rPr>
          <w:rFonts w:ascii="標楷體" w:eastAsia="標楷體" w:hAnsi="標楷體" w:hint="eastAsia"/>
          <w:color w:val="000000" w:themeColor="text1"/>
          <w:szCs w:val="24"/>
        </w:rPr>
        <w:t>參訓人員</w:t>
      </w:r>
      <w:proofErr w:type="gramEnd"/>
      <w:r w:rsidRPr="0056644C">
        <w:rPr>
          <w:rFonts w:ascii="標楷體" w:eastAsia="標楷體" w:hAnsi="標楷體" w:hint="eastAsia"/>
          <w:color w:val="000000" w:themeColor="text1"/>
          <w:szCs w:val="24"/>
        </w:rPr>
        <w:t>於</w:t>
      </w:r>
      <w:r w:rsidRPr="0056644C">
        <w:rPr>
          <w:rFonts w:ascii="標楷體" w:eastAsia="標楷體" w:hAnsi="標楷體" w:hint="eastAsia"/>
          <w:color w:val="000000" w:themeColor="text1"/>
          <w:szCs w:val="24"/>
        </w:rPr>
        <w:t>4</w:t>
      </w:r>
      <w:r w:rsidRPr="0056644C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Pr="0056644C">
        <w:rPr>
          <w:rFonts w:ascii="標楷體" w:eastAsia="標楷體" w:hAnsi="標楷體" w:hint="eastAsia"/>
          <w:color w:val="000000" w:themeColor="text1"/>
          <w:szCs w:val="24"/>
        </w:rPr>
        <w:t>12</w:t>
      </w:r>
      <w:r w:rsidRPr="0056644C">
        <w:rPr>
          <w:rFonts w:ascii="標楷體" w:eastAsia="標楷體" w:hAnsi="標楷體" w:hint="eastAsia"/>
          <w:color w:val="000000" w:themeColor="text1"/>
          <w:szCs w:val="24"/>
        </w:rPr>
        <w:t>日、</w:t>
      </w:r>
      <w:r w:rsidRPr="0056644C">
        <w:rPr>
          <w:rFonts w:ascii="標楷體" w:eastAsia="標楷體" w:hAnsi="標楷體" w:hint="eastAsia"/>
          <w:color w:val="000000" w:themeColor="text1"/>
          <w:szCs w:val="24"/>
        </w:rPr>
        <w:t>4</w:t>
      </w:r>
      <w:r w:rsidRPr="0056644C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Pr="0056644C">
        <w:rPr>
          <w:rFonts w:ascii="標楷體" w:eastAsia="標楷體" w:hAnsi="標楷體" w:hint="eastAsia"/>
          <w:color w:val="000000" w:themeColor="text1"/>
          <w:szCs w:val="24"/>
        </w:rPr>
        <w:t>19</w:t>
      </w:r>
      <w:r w:rsidRPr="0056644C">
        <w:rPr>
          <w:rFonts w:ascii="標楷體" w:eastAsia="標楷體" w:hAnsi="標楷體" w:hint="eastAsia"/>
          <w:color w:val="000000" w:themeColor="text1"/>
          <w:szCs w:val="24"/>
        </w:rPr>
        <w:t>日擇一場次課程參與即可</w:t>
      </w:r>
    </w:p>
    <w:p w:rsidR="0031296E" w:rsidRDefault="00082C67" w:rsidP="0031296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 xml:space="preserve">  1.</w:t>
      </w:r>
      <w:r w:rsidRPr="00841FEF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6</w:t>
      </w:r>
      <w:r w:rsidRPr="00841FEF">
        <w:rPr>
          <w:rFonts w:ascii="標楷體" w:eastAsia="標楷體" w:hAnsi="標楷體" w:hint="eastAsia"/>
          <w:szCs w:val="24"/>
        </w:rPr>
        <w:t>年</w:t>
      </w:r>
      <w:r w:rsidRPr="00841FEF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szCs w:val="24"/>
        </w:rPr>
        <w:t>4</w:t>
      </w:r>
      <w:r w:rsidRPr="00841FEF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12</w:t>
      </w:r>
      <w:r>
        <w:rPr>
          <w:rFonts w:ascii="標楷體" w:eastAsia="標楷體" w:hAnsi="標楷體" w:hint="eastAsia"/>
          <w:szCs w:val="24"/>
        </w:rPr>
        <w:t>日（星期三</w:t>
      </w:r>
      <w:r w:rsidRPr="00841FEF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13</w:t>
      </w:r>
      <w:r w:rsidRPr="00841FEF">
        <w:rPr>
          <w:rFonts w:ascii="標楷體" w:eastAsia="標楷體" w:hAnsi="標楷體" w:hint="eastAsia"/>
          <w:szCs w:val="24"/>
        </w:rPr>
        <w:t>：</w:t>
      </w:r>
      <w:r w:rsidRPr="00841FEF">
        <w:rPr>
          <w:rFonts w:ascii="標楷體" w:eastAsia="標楷體" w:hAnsi="標楷體" w:hint="eastAsia"/>
          <w:szCs w:val="24"/>
        </w:rPr>
        <w:t>30</w:t>
      </w:r>
      <w:proofErr w:type="gramStart"/>
      <w:r w:rsidRPr="00841FEF">
        <w:rPr>
          <w:rFonts w:ascii="標楷體" w:eastAsia="標楷體" w:hAnsi="標楷體"/>
          <w:szCs w:val="24"/>
        </w:rPr>
        <w:t>—</w:t>
      </w:r>
      <w:proofErr w:type="gramEnd"/>
      <w:r w:rsidRPr="00841FEF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7</w:t>
      </w:r>
      <w:r w:rsidRPr="00841FEF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3</w:t>
      </w:r>
      <w:r w:rsidRPr="00841FEF">
        <w:rPr>
          <w:rFonts w:ascii="標楷體" w:eastAsia="標楷體" w:hAnsi="標楷體" w:hint="eastAsia"/>
          <w:szCs w:val="24"/>
        </w:rPr>
        <w:t>0</w:t>
      </w:r>
    </w:p>
    <w:p w:rsidR="00D37D08" w:rsidRPr="0031296E" w:rsidRDefault="00082C67" w:rsidP="0031296E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 xml:space="preserve">  2.</w:t>
      </w:r>
      <w:r w:rsidRPr="00841FEF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6</w:t>
      </w:r>
      <w:r w:rsidRPr="00841FEF">
        <w:rPr>
          <w:rFonts w:ascii="標楷體" w:eastAsia="標楷體" w:hAnsi="標楷體" w:hint="eastAsia"/>
          <w:szCs w:val="24"/>
        </w:rPr>
        <w:t>年</w:t>
      </w:r>
      <w:r w:rsidRPr="00841FEF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szCs w:val="24"/>
        </w:rPr>
        <w:t>4</w:t>
      </w:r>
      <w:r w:rsidRPr="00841FEF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19</w:t>
      </w:r>
      <w:r>
        <w:rPr>
          <w:rFonts w:ascii="標楷體" w:eastAsia="標楷體" w:hAnsi="標楷體" w:hint="eastAsia"/>
          <w:szCs w:val="24"/>
        </w:rPr>
        <w:t>日（星期三</w:t>
      </w:r>
      <w:r w:rsidRPr="00841FEF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13</w:t>
      </w:r>
      <w:r w:rsidRPr="00841FEF">
        <w:rPr>
          <w:rFonts w:ascii="標楷體" w:eastAsia="標楷體" w:hAnsi="標楷體" w:hint="eastAsia"/>
          <w:szCs w:val="24"/>
        </w:rPr>
        <w:t>：</w:t>
      </w:r>
      <w:r w:rsidRPr="00841FEF">
        <w:rPr>
          <w:rFonts w:ascii="標楷體" w:eastAsia="標楷體" w:hAnsi="標楷體" w:hint="eastAsia"/>
          <w:szCs w:val="24"/>
        </w:rPr>
        <w:t>30</w:t>
      </w:r>
      <w:proofErr w:type="gramStart"/>
      <w:r w:rsidRPr="00841FEF">
        <w:rPr>
          <w:rFonts w:ascii="標楷體" w:eastAsia="標楷體" w:hAnsi="標楷體"/>
          <w:szCs w:val="24"/>
        </w:rPr>
        <w:t>—</w:t>
      </w:r>
      <w:proofErr w:type="gramEnd"/>
      <w:r w:rsidRPr="00841FEF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7</w:t>
      </w:r>
      <w:r w:rsidRPr="00841FEF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3</w:t>
      </w:r>
      <w:r w:rsidRPr="00841FEF">
        <w:rPr>
          <w:rFonts w:ascii="標楷體" w:eastAsia="標楷體" w:hAnsi="標楷體" w:hint="eastAsia"/>
          <w:szCs w:val="24"/>
        </w:rPr>
        <w:t>0</w:t>
      </w:r>
    </w:p>
    <w:tbl>
      <w:tblPr>
        <w:tblW w:w="9814" w:type="dxa"/>
        <w:jc w:val="center"/>
        <w:tblInd w:w="-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298"/>
        <w:gridCol w:w="1597"/>
        <w:gridCol w:w="1870"/>
        <w:gridCol w:w="2871"/>
        <w:gridCol w:w="2178"/>
      </w:tblGrid>
      <w:tr w:rsidR="00D37D08" w:rsidRPr="009164CF" w:rsidTr="00E300DD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37D08" w:rsidRPr="009164CF" w:rsidRDefault="00082C67" w:rsidP="00BD09A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597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37D08" w:rsidRPr="009164CF" w:rsidRDefault="00082C67" w:rsidP="00BD09A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8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37D08" w:rsidRPr="009164CF" w:rsidRDefault="00082C67" w:rsidP="00BD09A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課程主題</w:t>
            </w:r>
          </w:p>
        </w:tc>
        <w:tc>
          <w:tcPr>
            <w:tcW w:w="28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37D08" w:rsidRPr="009164CF" w:rsidRDefault="00082C67" w:rsidP="00BD09A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17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37D08" w:rsidRPr="009164CF" w:rsidRDefault="00082C67" w:rsidP="00BD09A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</w:t>
            </w:r>
          </w:p>
        </w:tc>
      </w:tr>
      <w:tr w:rsidR="00D37D08" w:rsidRPr="009164CF" w:rsidTr="00E300DD">
        <w:tblPrEx>
          <w:tblCellMar>
            <w:top w:w="0" w:type="dxa"/>
            <w:bottom w:w="0" w:type="dxa"/>
          </w:tblCellMar>
        </w:tblPrEx>
        <w:trPr>
          <w:trHeight w:val="987"/>
          <w:jc w:val="center"/>
        </w:trPr>
        <w:tc>
          <w:tcPr>
            <w:tcW w:w="1298" w:type="dxa"/>
            <w:vMerge w:val="restart"/>
            <w:vAlign w:val="center"/>
          </w:tcPr>
          <w:p w:rsidR="00D37D08" w:rsidRDefault="00082C67" w:rsidP="00BD09A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56644C" w:rsidRDefault="00082C67" w:rsidP="0056644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或</w:t>
            </w:r>
          </w:p>
          <w:p w:rsidR="0056644C" w:rsidRDefault="00082C67" w:rsidP="0056644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  <w:p w:rsidR="00D37D08" w:rsidRPr="009164CF" w:rsidRDefault="00082C67" w:rsidP="0056644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597" w:type="dxa"/>
            <w:vAlign w:val="center"/>
          </w:tcPr>
          <w:p w:rsidR="00D37D08" w:rsidRPr="009164CF" w:rsidRDefault="00082C67" w:rsidP="00BD09A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1870" w:type="dxa"/>
            <w:vAlign w:val="center"/>
          </w:tcPr>
          <w:p w:rsidR="00D37D08" w:rsidRPr="009164CF" w:rsidRDefault="00082C67" w:rsidP="00BD09A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簡易助人技巧</w:t>
            </w:r>
          </w:p>
        </w:tc>
        <w:tc>
          <w:tcPr>
            <w:tcW w:w="2871" w:type="dxa"/>
            <w:vAlign w:val="center"/>
          </w:tcPr>
          <w:p w:rsidR="00D37D08" w:rsidRPr="009164CF" w:rsidRDefault="00082C67" w:rsidP="00BD09A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介紹破冰、同理心、正向語言、優勢觀點等。</w:t>
            </w:r>
          </w:p>
        </w:tc>
        <w:tc>
          <w:tcPr>
            <w:tcW w:w="2178" w:type="dxa"/>
            <w:vAlign w:val="center"/>
          </w:tcPr>
          <w:p w:rsidR="00C1188A" w:rsidRDefault="00082C67" w:rsidP="00BD09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懷仁全人發展中心</w:t>
            </w:r>
          </w:p>
          <w:p w:rsidR="00D37D08" w:rsidRPr="009164CF" w:rsidRDefault="00082C67" w:rsidP="0017450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林守玫諮商心理師</w:t>
            </w:r>
          </w:p>
        </w:tc>
      </w:tr>
      <w:tr w:rsidR="0056644C" w:rsidRPr="009164CF" w:rsidTr="00E300DD">
        <w:tblPrEx>
          <w:tblCellMar>
            <w:top w:w="0" w:type="dxa"/>
            <w:bottom w:w="0" w:type="dxa"/>
          </w:tblCellMar>
        </w:tblPrEx>
        <w:trPr>
          <w:trHeight w:val="987"/>
          <w:jc w:val="center"/>
        </w:trPr>
        <w:tc>
          <w:tcPr>
            <w:tcW w:w="1298" w:type="dxa"/>
            <w:vMerge/>
            <w:vAlign w:val="center"/>
          </w:tcPr>
          <w:p w:rsidR="0056644C" w:rsidRPr="009164CF" w:rsidRDefault="00082C67" w:rsidP="00BD09A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56644C" w:rsidRPr="009164CF" w:rsidRDefault="00082C67" w:rsidP="00BD09A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870" w:type="dxa"/>
            <w:vAlign w:val="center"/>
          </w:tcPr>
          <w:p w:rsidR="0056644C" w:rsidRPr="009164CF" w:rsidRDefault="00082C67" w:rsidP="00BD09A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訪談技巧訓練</w:t>
            </w:r>
          </w:p>
        </w:tc>
        <w:tc>
          <w:tcPr>
            <w:tcW w:w="2871" w:type="dxa"/>
            <w:vAlign w:val="center"/>
          </w:tcPr>
          <w:p w:rsidR="0056644C" w:rsidRPr="009164CF" w:rsidRDefault="00082C67" w:rsidP="00BD09A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問卷訪談技巧訓練與演練。</w:t>
            </w:r>
          </w:p>
        </w:tc>
        <w:tc>
          <w:tcPr>
            <w:tcW w:w="2178" w:type="dxa"/>
            <w:vAlign w:val="center"/>
          </w:tcPr>
          <w:p w:rsidR="0056644C" w:rsidRPr="009164CF" w:rsidRDefault="00082C67" w:rsidP="0056644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士林社福中心</w:t>
            </w:r>
          </w:p>
          <w:p w:rsidR="0056644C" w:rsidRPr="009164CF" w:rsidRDefault="00082C67" w:rsidP="0056644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林佳</w:t>
            </w:r>
            <w:proofErr w:type="gramStart"/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諺</w:t>
            </w:r>
            <w:proofErr w:type="gramEnd"/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社工師</w:t>
            </w:r>
          </w:p>
        </w:tc>
      </w:tr>
      <w:tr w:rsidR="00D37D08" w:rsidRPr="009164CF" w:rsidTr="00E300DD">
        <w:tblPrEx>
          <w:tblCellMar>
            <w:top w:w="0" w:type="dxa"/>
            <w:bottom w:w="0" w:type="dxa"/>
          </w:tblCellMar>
        </w:tblPrEx>
        <w:trPr>
          <w:trHeight w:val="987"/>
          <w:jc w:val="center"/>
        </w:trPr>
        <w:tc>
          <w:tcPr>
            <w:tcW w:w="1298" w:type="dxa"/>
            <w:vMerge/>
            <w:vAlign w:val="center"/>
          </w:tcPr>
          <w:p w:rsidR="00D37D08" w:rsidRPr="009164CF" w:rsidRDefault="00082C67" w:rsidP="00BD09A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D37D08" w:rsidRPr="009164CF" w:rsidRDefault="00082C67" w:rsidP="00BD09A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9164CF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17:30</w:t>
            </w:r>
          </w:p>
        </w:tc>
        <w:tc>
          <w:tcPr>
            <w:tcW w:w="1870" w:type="dxa"/>
            <w:vAlign w:val="center"/>
          </w:tcPr>
          <w:p w:rsidR="00D37D08" w:rsidRPr="009164CF" w:rsidRDefault="00082C67" w:rsidP="00BD09A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綜合座談</w:t>
            </w:r>
          </w:p>
        </w:tc>
        <w:tc>
          <w:tcPr>
            <w:tcW w:w="2871" w:type="dxa"/>
            <w:vAlign w:val="center"/>
          </w:tcPr>
          <w:p w:rsidR="00D37D08" w:rsidRPr="009164CF" w:rsidRDefault="00082C67" w:rsidP="00BD09A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當天課程參與經驗交流。</w:t>
            </w:r>
          </w:p>
        </w:tc>
        <w:tc>
          <w:tcPr>
            <w:tcW w:w="2178" w:type="dxa"/>
            <w:vAlign w:val="center"/>
          </w:tcPr>
          <w:p w:rsidR="00D37D08" w:rsidRPr="009164CF" w:rsidRDefault="00082C67" w:rsidP="00BD09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士林社福中心</w:t>
            </w:r>
          </w:p>
          <w:p w:rsidR="00D37D08" w:rsidRPr="009164CF" w:rsidRDefault="00082C67" w:rsidP="00BD09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64CF">
              <w:rPr>
                <w:rFonts w:ascii="標楷體" w:eastAsia="標楷體" w:hAnsi="標楷體" w:hint="eastAsia"/>
                <w:color w:val="000000" w:themeColor="text1"/>
                <w:szCs w:val="24"/>
              </w:rPr>
              <w:t>陳怡如主任</w:t>
            </w:r>
          </w:p>
        </w:tc>
      </w:tr>
    </w:tbl>
    <w:p w:rsidR="0067260D" w:rsidRPr="009164CF" w:rsidRDefault="00082C67" w:rsidP="00B23F61">
      <w:pPr>
        <w:spacing w:line="7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結訓獎勵</w:t>
      </w:r>
    </w:p>
    <w:p w:rsidR="00A07F6B" w:rsidRDefault="00082C67" w:rsidP="00A07F6B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社會局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士林社會福利服務中心將於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106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日辦理之「關愛自己、守護家園」社區關懷活動中，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針對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全程參與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小時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培訓課程之成員，進行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授證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儀式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B2C2B" w:rsidRDefault="00082C67" w:rsidP="00E300DD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效益評估</w:t>
      </w:r>
    </w:p>
    <w:p w:rsidR="006F57CF" w:rsidRPr="009164CF" w:rsidRDefault="00082C67" w:rsidP="006F57CF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本訓練課程預計協助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120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名社區志工提升簡易助人技巧，課程結束後並將運用回饋問卷評估成員</w:t>
      </w:r>
      <w:proofErr w:type="gramStart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之參訓經驗</w:t>
      </w:r>
      <w:proofErr w:type="gramEnd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，預計有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80%</w:t>
      </w:r>
      <w:proofErr w:type="gramStart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的參訓成員</w:t>
      </w:r>
      <w:proofErr w:type="gramEnd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認為助人技巧能力獲得提升，並有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65%</w:t>
      </w:r>
      <w:proofErr w:type="gramStart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的參訓成員</w:t>
      </w:r>
      <w:proofErr w:type="gramEnd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認為課程能提升其對危機事件之關切。</w:t>
      </w:r>
    </w:p>
    <w:p w:rsidR="00913A33" w:rsidRPr="009164CF" w:rsidRDefault="00082C67" w:rsidP="00B9667E">
      <w:pPr>
        <w:spacing w:beforeLines="50" w:before="1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</w:t>
      </w:r>
      <w:r w:rsidRPr="009164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、其他</w:t>
      </w:r>
    </w:p>
    <w:p w:rsidR="00BD3F6E" w:rsidRPr="009164CF" w:rsidRDefault="00082C67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proofErr w:type="gramStart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協助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參訓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成員</w:t>
      </w:r>
      <w:proofErr w:type="gramEnd"/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申請志工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學習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時數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以及公務</w:t>
      </w:r>
      <w:r w:rsidRPr="009164CF">
        <w:rPr>
          <w:rFonts w:ascii="標楷體" w:eastAsia="標楷體" w:hAnsi="標楷體" w:hint="eastAsia"/>
          <w:color w:val="000000" w:themeColor="text1"/>
          <w:sz w:val="28"/>
          <w:szCs w:val="28"/>
        </w:rPr>
        <w:t>人員終身學習時數。</w:t>
      </w:r>
    </w:p>
    <w:sectPr w:rsidR="00BD3F6E" w:rsidRPr="009164CF" w:rsidSect="00294CB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67"/>
    <w:rsid w:val="0008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AEAA-49902</dc:creator>
  <cp:lastModifiedBy>AEAA</cp:lastModifiedBy>
  <cp:revision>1</cp:revision>
  <dcterms:created xsi:type="dcterms:W3CDTF">2017-03-15T01:27:00Z</dcterms:created>
  <dcterms:modified xsi:type="dcterms:W3CDTF">2017-03-15T01:28:00Z</dcterms:modified>
</cp:coreProperties>
</file>